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Ethos Technologies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40"/>
        <w:gridCol w:w="8165"/>
      </w:tblGrid>
      <w:tr>
        <w:trPr/>
        <w:tc>
          <w:tcPr>
            <w:tcW w:w="2040" w:type="dxa"/>
            <w:tcBorders/>
            <w:vAlign w:val="center"/>
          </w:tcPr>
          <w:p>
            <w:pPr>
              <w:pStyle w:val="TableContents"/>
              <w:bidi w:val="0"/>
              <w:spacing w:before="0" w:after="283"/>
              <w:jc w:val="left"/>
              <w:rPr/>
            </w:pPr>
            <w:r>
              <w:rPr/>
              <w:t>1</w:t>
            </w:r>
          </w:p>
        </w:tc>
        <w:tc>
          <w:tcPr>
            <w:tcW w:w="816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VENTURE PARTNERS FUND XV, L.P. ("STP XV")</w:t>
            </w:r>
          </w:p>
        </w:tc>
      </w:tr>
      <w:tr>
        <w:trPr/>
        <w:tc>
          <w:tcPr>
            <w:tcW w:w="2040" w:type="dxa"/>
            <w:tcBorders/>
            <w:vAlign w:val="center"/>
          </w:tcPr>
          <w:p>
            <w:pPr>
              <w:pStyle w:val="TableContents"/>
              <w:bidi w:val="0"/>
              <w:spacing w:before="0" w:after="283"/>
              <w:jc w:val="left"/>
              <w:rPr/>
            </w:pPr>
            <w:r>
              <w:rPr/>
              <w:t>2</w:t>
            </w:r>
          </w:p>
        </w:tc>
        <w:tc>
          <w:tcPr>
            <w:tcW w:w="816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40" w:type="dxa"/>
            <w:tcBorders/>
            <w:vAlign w:val="center"/>
          </w:tcPr>
          <w:p>
            <w:pPr>
              <w:pStyle w:val="TableContents"/>
              <w:bidi w:val="0"/>
              <w:spacing w:before="0" w:after="283"/>
              <w:jc w:val="left"/>
              <w:rPr/>
            </w:pPr>
            <w:r>
              <w:rPr/>
              <w:t>3</w:t>
            </w:r>
          </w:p>
        </w:tc>
        <w:tc>
          <w:tcPr>
            <w:tcW w:w="8165" w:type="dxa"/>
            <w:tcBorders/>
            <w:vAlign w:val="center"/>
          </w:tcPr>
          <w:p>
            <w:pPr>
              <w:pStyle w:val="TableContents"/>
              <w:bidi w:val="0"/>
              <w:spacing w:before="0" w:after="283"/>
              <w:jc w:val="left"/>
              <w:rPr/>
            </w:pPr>
            <w:r>
              <w:rPr/>
              <w:t>Sec Use Only</w:t>
            </w:r>
          </w:p>
        </w:tc>
      </w:tr>
      <w:tr>
        <w:trPr/>
        <w:tc>
          <w:tcPr>
            <w:tcW w:w="2040" w:type="dxa"/>
            <w:tcBorders/>
            <w:vAlign w:val="center"/>
          </w:tcPr>
          <w:p>
            <w:pPr>
              <w:pStyle w:val="TableContents"/>
              <w:bidi w:val="0"/>
              <w:spacing w:before="0" w:after="283"/>
              <w:jc w:val="left"/>
              <w:rPr/>
            </w:pPr>
            <w:r>
              <w:rPr/>
              <w:t>4</w:t>
            </w:r>
          </w:p>
        </w:tc>
        <w:tc>
          <w:tcPr>
            <w:tcW w:w="816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121,541.00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121,541.00</w:t>
                  </w:r>
                </w:p>
              </w:tc>
            </w:tr>
          </w:tbl>
          <w:p>
            <w:pPr>
              <w:pStyle w:val="TableContents"/>
              <w:bidi w:val="0"/>
              <w:spacing w:before="0" w:after="283"/>
              <w:jc w:val="left"/>
              <w:rPr/>
            </w:pPr>
            <w:r>
              <w:rPr/>
            </w:r>
          </w:p>
        </w:tc>
        <w:tc>
          <w:tcPr>
            <w:tcW w:w="8165" w:type="dxa"/>
            <w:tcBorders/>
            <w:vAlign w:val="center"/>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pPr>
            <w:r>
              <w:rPr/>
              <w:t>9</w:t>
            </w:r>
          </w:p>
        </w:tc>
        <w:tc>
          <w:tcPr>
            <w:tcW w:w="816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121,541.00</w:t>
            </w:r>
          </w:p>
        </w:tc>
      </w:tr>
      <w:tr>
        <w:trPr/>
        <w:tc>
          <w:tcPr>
            <w:tcW w:w="2040" w:type="dxa"/>
            <w:tcBorders/>
            <w:vAlign w:val="center"/>
          </w:tcPr>
          <w:p>
            <w:pPr>
              <w:pStyle w:val="TableContents"/>
              <w:bidi w:val="0"/>
              <w:spacing w:before="0" w:after="283"/>
              <w:jc w:val="left"/>
              <w:rPr/>
            </w:pPr>
            <w:r>
              <w:rPr/>
              <w:t>10</w:t>
            </w:r>
          </w:p>
        </w:tc>
        <w:tc>
          <w:tcPr>
            <w:tcW w:w="816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40" w:type="dxa"/>
            <w:tcBorders/>
            <w:vAlign w:val="center"/>
          </w:tcPr>
          <w:p>
            <w:pPr>
              <w:pStyle w:val="TableContents"/>
              <w:bidi w:val="0"/>
              <w:spacing w:before="0" w:after="283"/>
              <w:jc w:val="left"/>
              <w:rPr/>
            </w:pPr>
            <w:r>
              <w:rPr/>
              <w:t>11</w:t>
            </w:r>
          </w:p>
        </w:tc>
        <w:tc>
          <w:tcPr>
            <w:tcW w:w="816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0.4 % </w:t>
            </w:r>
          </w:p>
        </w:tc>
      </w:tr>
      <w:tr>
        <w:trPr/>
        <w:tc>
          <w:tcPr>
            <w:tcW w:w="2040" w:type="dxa"/>
            <w:tcBorders/>
            <w:vAlign w:val="center"/>
          </w:tcPr>
          <w:p>
            <w:pPr>
              <w:pStyle w:val="TableContents"/>
              <w:bidi w:val="0"/>
              <w:spacing w:before="0" w:after="283"/>
              <w:jc w:val="left"/>
              <w:rPr/>
            </w:pPr>
            <w:r>
              <w:rPr/>
              <w:t>12</w:t>
            </w:r>
          </w:p>
        </w:tc>
        <w:tc>
          <w:tcPr>
            <w:tcW w:w="816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Includes 121,541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GROWTH FUND VIII, L.P. ("SEQUOIA CAPITAL U.S. GROWTH FUND VIII")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2,132,408.00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2,132,408.00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2,132,408.00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2,132,408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037"/>
        <w:gridCol w:w="8168"/>
      </w:tblGrid>
      <w:tr>
        <w:trPr/>
        <w:tc>
          <w:tcPr>
            <w:tcW w:w="2037" w:type="dxa"/>
            <w:tcBorders/>
            <w:vAlign w:val="center"/>
          </w:tcPr>
          <w:p>
            <w:pPr>
              <w:pStyle w:val="TableContents"/>
              <w:bidi w:val="0"/>
              <w:spacing w:before="0" w:after="283"/>
              <w:jc w:val="left"/>
              <w:rPr/>
            </w:pPr>
            <w:r>
              <w:rPr/>
              <w:t>1</w:t>
            </w:r>
          </w:p>
        </w:tc>
        <w:tc>
          <w:tcPr>
            <w:tcW w:w="816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VENTURE PARTNERS FUND XV (Q), L.P. ("STPQ XV")</w:t>
            </w:r>
          </w:p>
        </w:tc>
      </w:tr>
      <w:tr>
        <w:trPr/>
        <w:tc>
          <w:tcPr>
            <w:tcW w:w="2037" w:type="dxa"/>
            <w:tcBorders/>
            <w:vAlign w:val="center"/>
          </w:tcPr>
          <w:p>
            <w:pPr>
              <w:pStyle w:val="TableContents"/>
              <w:bidi w:val="0"/>
              <w:spacing w:before="0" w:after="283"/>
              <w:jc w:val="left"/>
              <w:rPr/>
            </w:pPr>
            <w:r>
              <w:rPr/>
              <w:t>2</w:t>
            </w:r>
          </w:p>
        </w:tc>
        <w:tc>
          <w:tcPr>
            <w:tcW w:w="816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037" w:type="dxa"/>
            <w:tcBorders/>
            <w:vAlign w:val="center"/>
          </w:tcPr>
          <w:p>
            <w:pPr>
              <w:pStyle w:val="TableContents"/>
              <w:bidi w:val="0"/>
              <w:spacing w:before="0" w:after="283"/>
              <w:jc w:val="left"/>
              <w:rPr/>
            </w:pPr>
            <w:r>
              <w:rPr/>
              <w:t>3</w:t>
            </w:r>
          </w:p>
        </w:tc>
        <w:tc>
          <w:tcPr>
            <w:tcW w:w="8168" w:type="dxa"/>
            <w:tcBorders/>
            <w:vAlign w:val="center"/>
          </w:tcPr>
          <w:p>
            <w:pPr>
              <w:pStyle w:val="TableContents"/>
              <w:bidi w:val="0"/>
              <w:spacing w:before="0" w:after="283"/>
              <w:jc w:val="left"/>
              <w:rPr/>
            </w:pPr>
            <w:r>
              <w:rPr/>
              <w:t>Sec Use Only</w:t>
            </w:r>
          </w:p>
        </w:tc>
      </w:tr>
      <w:tr>
        <w:trPr/>
        <w:tc>
          <w:tcPr>
            <w:tcW w:w="2037" w:type="dxa"/>
            <w:tcBorders/>
            <w:vAlign w:val="center"/>
          </w:tcPr>
          <w:p>
            <w:pPr>
              <w:pStyle w:val="TableContents"/>
              <w:bidi w:val="0"/>
              <w:spacing w:before="0" w:after="283"/>
              <w:jc w:val="left"/>
              <w:rPr/>
            </w:pPr>
            <w:r>
              <w:rPr/>
              <w:t>4</w:t>
            </w:r>
          </w:p>
        </w:tc>
        <w:tc>
          <w:tcPr>
            <w:tcW w:w="816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337,996.00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337,996.00</w:t>
                  </w:r>
                </w:p>
              </w:tc>
            </w:tr>
          </w:tbl>
          <w:p>
            <w:pPr>
              <w:pStyle w:val="TableContents"/>
              <w:bidi w:val="0"/>
              <w:spacing w:before="0" w:after="283"/>
              <w:jc w:val="left"/>
              <w:rPr/>
            </w:pPr>
            <w:r>
              <w:rPr/>
            </w:r>
          </w:p>
        </w:tc>
        <w:tc>
          <w:tcPr>
            <w:tcW w:w="8168" w:type="dxa"/>
            <w:tcBorders/>
            <w:vAlign w:val="center"/>
          </w:tcPr>
          <w:p>
            <w:pPr>
              <w:pStyle w:val="TableContents"/>
              <w:bidi w:val="0"/>
              <w:spacing w:before="0" w:after="283"/>
              <w:jc w:val="left"/>
              <w:rPr>
                <w:sz w:val="4"/>
                <w:szCs w:val="4"/>
              </w:rPr>
            </w:pPr>
            <w:r>
              <w:rPr>
                <w:sz w:val="4"/>
                <w:szCs w:val="4"/>
              </w:rPr>
            </w:r>
          </w:p>
        </w:tc>
      </w:tr>
      <w:tr>
        <w:trPr/>
        <w:tc>
          <w:tcPr>
            <w:tcW w:w="2037" w:type="dxa"/>
            <w:tcBorders/>
            <w:vAlign w:val="center"/>
          </w:tcPr>
          <w:p>
            <w:pPr>
              <w:pStyle w:val="TableContents"/>
              <w:bidi w:val="0"/>
              <w:spacing w:before="0" w:after="283"/>
              <w:jc w:val="left"/>
              <w:rPr/>
            </w:pPr>
            <w:r>
              <w:rPr/>
              <w:t>9</w:t>
            </w:r>
          </w:p>
        </w:tc>
        <w:tc>
          <w:tcPr>
            <w:tcW w:w="816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337,996.00</w:t>
            </w:r>
          </w:p>
        </w:tc>
      </w:tr>
      <w:tr>
        <w:trPr/>
        <w:tc>
          <w:tcPr>
            <w:tcW w:w="2037" w:type="dxa"/>
            <w:tcBorders/>
            <w:vAlign w:val="center"/>
          </w:tcPr>
          <w:p>
            <w:pPr>
              <w:pStyle w:val="TableContents"/>
              <w:bidi w:val="0"/>
              <w:spacing w:before="0" w:after="283"/>
              <w:jc w:val="left"/>
              <w:rPr/>
            </w:pPr>
            <w:r>
              <w:rPr/>
              <w:t>10</w:t>
            </w:r>
          </w:p>
        </w:tc>
        <w:tc>
          <w:tcPr>
            <w:tcW w:w="816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037" w:type="dxa"/>
            <w:tcBorders/>
            <w:vAlign w:val="center"/>
          </w:tcPr>
          <w:p>
            <w:pPr>
              <w:pStyle w:val="TableContents"/>
              <w:bidi w:val="0"/>
              <w:spacing w:before="0" w:after="283"/>
              <w:jc w:val="left"/>
              <w:rPr/>
            </w:pPr>
            <w:r>
              <w:rPr/>
              <w:t>11</w:t>
            </w:r>
          </w:p>
        </w:tc>
        <w:tc>
          <w:tcPr>
            <w:tcW w:w="816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1.1 % </w:t>
            </w:r>
          </w:p>
        </w:tc>
      </w:tr>
      <w:tr>
        <w:trPr/>
        <w:tc>
          <w:tcPr>
            <w:tcW w:w="2037" w:type="dxa"/>
            <w:tcBorders/>
            <w:vAlign w:val="center"/>
          </w:tcPr>
          <w:p>
            <w:pPr>
              <w:pStyle w:val="TableContents"/>
              <w:bidi w:val="0"/>
              <w:spacing w:before="0" w:after="283"/>
              <w:jc w:val="left"/>
              <w:rPr/>
            </w:pPr>
            <w:r>
              <w:rPr/>
              <w:t>12</w:t>
            </w:r>
          </w:p>
        </w:tc>
        <w:tc>
          <w:tcPr>
            <w:tcW w:w="816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337,996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VENTURE FUND XV, L.P. ("SC XV")</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8,027,281.00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8,027,281.00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8,027,281.00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8,027,281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07"/>
        <w:gridCol w:w="8198"/>
      </w:tblGrid>
      <w:tr>
        <w:trPr/>
        <w:tc>
          <w:tcPr>
            <w:tcW w:w="2007" w:type="dxa"/>
            <w:tcBorders/>
            <w:vAlign w:val="center"/>
          </w:tcPr>
          <w:p>
            <w:pPr>
              <w:pStyle w:val="TableContents"/>
              <w:bidi w:val="0"/>
              <w:spacing w:before="0" w:after="283"/>
              <w:jc w:val="left"/>
              <w:rPr/>
            </w:pPr>
            <w:r>
              <w:rPr/>
              <w:t>1</w:t>
            </w:r>
          </w:p>
        </w:tc>
        <w:tc>
          <w:tcPr>
            <w:tcW w:w="819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SPELUNKER CHANNEL HOLDINGS, LLC ("SPELUNKER")</w:t>
            </w:r>
          </w:p>
        </w:tc>
      </w:tr>
      <w:tr>
        <w:trPr/>
        <w:tc>
          <w:tcPr>
            <w:tcW w:w="2007" w:type="dxa"/>
            <w:tcBorders/>
            <w:vAlign w:val="center"/>
          </w:tcPr>
          <w:p>
            <w:pPr>
              <w:pStyle w:val="TableContents"/>
              <w:bidi w:val="0"/>
              <w:spacing w:before="0" w:after="283"/>
              <w:jc w:val="left"/>
              <w:rPr/>
            </w:pPr>
            <w:r>
              <w:rPr/>
              <w:t>2</w:t>
            </w:r>
          </w:p>
        </w:tc>
        <w:tc>
          <w:tcPr>
            <w:tcW w:w="819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07" w:type="dxa"/>
            <w:tcBorders/>
            <w:vAlign w:val="center"/>
          </w:tcPr>
          <w:p>
            <w:pPr>
              <w:pStyle w:val="TableContents"/>
              <w:bidi w:val="0"/>
              <w:spacing w:before="0" w:after="283"/>
              <w:jc w:val="left"/>
              <w:rPr/>
            </w:pPr>
            <w:r>
              <w:rPr/>
              <w:t>3</w:t>
            </w:r>
          </w:p>
        </w:tc>
        <w:tc>
          <w:tcPr>
            <w:tcW w:w="8198" w:type="dxa"/>
            <w:tcBorders/>
            <w:vAlign w:val="center"/>
          </w:tcPr>
          <w:p>
            <w:pPr>
              <w:pStyle w:val="TableContents"/>
              <w:bidi w:val="0"/>
              <w:spacing w:before="0" w:after="283"/>
              <w:jc w:val="left"/>
              <w:rPr/>
            </w:pPr>
            <w:r>
              <w:rPr/>
              <w:t>Sec Use Only</w:t>
            </w:r>
          </w:p>
        </w:tc>
      </w:tr>
      <w:tr>
        <w:trPr/>
        <w:tc>
          <w:tcPr>
            <w:tcW w:w="2007" w:type="dxa"/>
            <w:tcBorders/>
            <w:vAlign w:val="center"/>
          </w:tcPr>
          <w:p>
            <w:pPr>
              <w:pStyle w:val="TableContents"/>
              <w:bidi w:val="0"/>
              <w:spacing w:before="0" w:after="283"/>
              <w:jc w:val="left"/>
              <w:rPr/>
            </w:pPr>
            <w:r>
              <w:rPr/>
              <w:t>4</w:t>
            </w:r>
          </w:p>
        </w:tc>
        <w:tc>
          <w:tcPr>
            <w:tcW w:w="819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79,246.00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79,246.00</w:t>
                  </w:r>
                </w:p>
              </w:tc>
            </w:tr>
          </w:tbl>
          <w:p>
            <w:pPr>
              <w:pStyle w:val="TableContents"/>
              <w:bidi w:val="0"/>
              <w:spacing w:before="0" w:after="283"/>
              <w:jc w:val="left"/>
              <w:rPr/>
            </w:pPr>
            <w:r>
              <w:rPr/>
            </w:r>
          </w:p>
        </w:tc>
        <w:tc>
          <w:tcPr>
            <w:tcW w:w="8198" w:type="dxa"/>
            <w:tcBorders/>
            <w:vAlign w:val="center"/>
          </w:tcPr>
          <w:p>
            <w:pPr>
              <w:pStyle w:val="TableContents"/>
              <w:bidi w:val="0"/>
              <w:spacing w:before="0" w:after="283"/>
              <w:jc w:val="left"/>
              <w:rPr>
                <w:sz w:val="4"/>
                <w:szCs w:val="4"/>
              </w:rPr>
            </w:pPr>
            <w:r>
              <w:rPr>
                <w:sz w:val="4"/>
                <w:szCs w:val="4"/>
              </w:rPr>
            </w:r>
          </w:p>
        </w:tc>
      </w:tr>
      <w:tr>
        <w:trPr/>
        <w:tc>
          <w:tcPr>
            <w:tcW w:w="2007" w:type="dxa"/>
            <w:tcBorders/>
            <w:vAlign w:val="center"/>
          </w:tcPr>
          <w:p>
            <w:pPr>
              <w:pStyle w:val="TableContents"/>
              <w:bidi w:val="0"/>
              <w:spacing w:before="0" w:after="283"/>
              <w:jc w:val="left"/>
              <w:rPr/>
            </w:pPr>
            <w:r>
              <w:rPr/>
              <w:t>9</w:t>
            </w:r>
          </w:p>
        </w:tc>
        <w:tc>
          <w:tcPr>
            <w:tcW w:w="819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79,246.00</w:t>
            </w:r>
          </w:p>
        </w:tc>
      </w:tr>
      <w:tr>
        <w:trPr/>
        <w:tc>
          <w:tcPr>
            <w:tcW w:w="2007" w:type="dxa"/>
            <w:tcBorders/>
            <w:vAlign w:val="center"/>
          </w:tcPr>
          <w:p>
            <w:pPr>
              <w:pStyle w:val="TableContents"/>
              <w:bidi w:val="0"/>
              <w:spacing w:before="0" w:after="283"/>
              <w:jc w:val="left"/>
              <w:rPr/>
            </w:pPr>
            <w:r>
              <w:rPr/>
              <w:t>10</w:t>
            </w:r>
          </w:p>
        </w:tc>
        <w:tc>
          <w:tcPr>
            <w:tcW w:w="819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07" w:type="dxa"/>
            <w:tcBorders/>
            <w:vAlign w:val="center"/>
          </w:tcPr>
          <w:p>
            <w:pPr>
              <w:pStyle w:val="TableContents"/>
              <w:bidi w:val="0"/>
              <w:spacing w:before="0" w:after="283"/>
              <w:jc w:val="left"/>
              <w:rPr/>
            </w:pPr>
            <w:r>
              <w:rPr/>
              <w:t>11</w:t>
            </w:r>
          </w:p>
        </w:tc>
        <w:tc>
          <w:tcPr>
            <w:tcW w:w="819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07" w:type="dxa"/>
            <w:tcBorders/>
            <w:vAlign w:val="center"/>
          </w:tcPr>
          <w:p>
            <w:pPr>
              <w:pStyle w:val="TableContents"/>
              <w:bidi w:val="0"/>
              <w:spacing w:before="0" w:after="283"/>
              <w:jc w:val="left"/>
              <w:rPr/>
            </w:pPr>
            <w:r>
              <w:rPr/>
              <w:t>12</w:t>
            </w:r>
          </w:p>
        </w:tc>
        <w:tc>
          <w:tcPr>
            <w:tcW w:w="819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79,246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NALRENA, LLC ("NALRENA")</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63,370.00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63,370.00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63,370.00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0.2 %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63,370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9"/>
        <w:gridCol w:w="8016"/>
      </w:tblGrid>
      <w:tr>
        <w:trPr/>
        <w:tc>
          <w:tcPr>
            <w:tcW w:w="2189" w:type="dxa"/>
            <w:tcBorders/>
            <w:vAlign w:val="center"/>
          </w:tcPr>
          <w:p>
            <w:pPr>
              <w:pStyle w:val="TableContents"/>
              <w:bidi w:val="0"/>
              <w:spacing w:before="0" w:after="283"/>
              <w:jc w:val="left"/>
              <w:rPr/>
            </w:pPr>
            <w:r>
              <w:rPr/>
              <w:t>1</w:t>
            </w:r>
          </w:p>
        </w:tc>
        <w:tc>
          <w:tcPr>
            <w:tcW w:w="80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VENTURE XV PRINCIPALS FUND, L.P. ("SC XV PF")</w:t>
            </w:r>
          </w:p>
        </w:tc>
      </w:tr>
      <w:tr>
        <w:trPr/>
        <w:tc>
          <w:tcPr>
            <w:tcW w:w="2189" w:type="dxa"/>
            <w:tcBorders/>
            <w:vAlign w:val="center"/>
          </w:tcPr>
          <w:p>
            <w:pPr>
              <w:pStyle w:val="TableContents"/>
              <w:bidi w:val="0"/>
              <w:spacing w:before="0" w:after="283"/>
              <w:jc w:val="left"/>
              <w:rPr/>
            </w:pPr>
            <w:r>
              <w:rPr/>
              <w:t>2</w:t>
            </w:r>
          </w:p>
        </w:tc>
        <w:tc>
          <w:tcPr>
            <w:tcW w:w="80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9" w:type="dxa"/>
            <w:tcBorders/>
            <w:vAlign w:val="center"/>
          </w:tcPr>
          <w:p>
            <w:pPr>
              <w:pStyle w:val="TableContents"/>
              <w:bidi w:val="0"/>
              <w:spacing w:before="0" w:after="283"/>
              <w:jc w:val="left"/>
              <w:rPr/>
            </w:pPr>
            <w:r>
              <w:rPr/>
              <w:t>3</w:t>
            </w:r>
          </w:p>
        </w:tc>
        <w:tc>
          <w:tcPr>
            <w:tcW w:w="8016" w:type="dxa"/>
            <w:tcBorders/>
            <w:vAlign w:val="center"/>
          </w:tcPr>
          <w:p>
            <w:pPr>
              <w:pStyle w:val="TableContents"/>
              <w:bidi w:val="0"/>
              <w:spacing w:before="0" w:after="283"/>
              <w:jc w:val="left"/>
              <w:rPr/>
            </w:pPr>
            <w:r>
              <w:rPr/>
              <w:t>Sec Use Only</w:t>
            </w:r>
          </w:p>
        </w:tc>
      </w:tr>
      <w:tr>
        <w:trPr/>
        <w:tc>
          <w:tcPr>
            <w:tcW w:w="2189" w:type="dxa"/>
            <w:tcBorders/>
            <w:vAlign w:val="center"/>
          </w:tcPr>
          <w:p>
            <w:pPr>
              <w:pStyle w:val="TableContents"/>
              <w:bidi w:val="0"/>
              <w:spacing w:before="0" w:after="283"/>
              <w:jc w:val="left"/>
              <w:rPr/>
            </w:pPr>
            <w:r>
              <w:rPr/>
              <w:t>4</w:t>
            </w:r>
          </w:p>
        </w:tc>
        <w:tc>
          <w:tcPr>
            <w:tcW w:w="80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1,238,282.00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1,238,282.00</w:t>
                  </w:r>
                </w:p>
              </w:tc>
            </w:tr>
          </w:tbl>
          <w:p>
            <w:pPr>
              <w:pStyle w:val="TableContents"/>
              <w:bidi w:val="0"/>
              <w:spacing w:before="0" w:after="283"/>
              <w:jc w:val="left"/>
              <w:rPr/>
            </w:pPr>
            <w:r>
              <w:rPr/>
            </w:r>
          </w:p>
        </w:tc>
        <w:tc>
          <w:tcPr>
            <w:tcW w:w="8016" w:type="dxa"/>
            <w:tcBorders/>
            <w:vAlign w:val="center"/>
          </w:tcPr>
          <w:p>
            <w:pPr>
              <w:pStyle w:val="TableContents"/>
              <w:bidi w:val="0"/>
              <w:spacing w:before="0" w:after="283"/>
              <w:jc w:val="left"/>
              <w:rPr>
                <w:sz w:val="4"/>
                <w:szCs w:val="4"/>
              </w:rPr>
            </w:pPr>
            <w:r>
              <w:rPr>
                <w:sz w:val="4"/>
                <w:szCs w:val="4"/>
              </w:rPr>
            </w:r>
          </w:p>
        </w:tc>
      </w:tr>
      <w:tr>
        <w:trPr/>
        <w:tc>
          <w:tcPr>
            <w:tcW w:w="2189" w:type="dxa"/>
            <w:tcBorders/>
            <w:vAlign w:val="center"/>
          </w:tcPr>
          <w:p>
            <w:pPr>
              <w:pStyle w:val="TableContents"/>
              <w:bidi w:val="0"/>
              <w:spacing w:before="0" w:after="283"/>
              <w:jc w:val="left"/>
              <w:rPr/>
            </w:pPr>
            <w:r>
              <w:rPr/>
              <w:t>9</w:t>
            </w:r>
          </w:p>
        </w:tc>
        <w:tc>
          <w:tcPr>
            <w:tcW w:w="80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1,238,282.00</w:t>
            </w:r>
          </w:p>
        </w:tc>
      </w:tr>
      <w:tr>
        <w:trPr/>
        <w:tc>
          <w:tcPr>
            <w:tcW w:w="2189" w:type="dxa"/>
            <w:tcBorders/>
            <w:vAlign w:val="center"/>
          </w:tcPr>
          <w:p>
            <w:pPr>
              <w:pStyle w:val="TableContents"/>
              <w:bidi w:val="0"/>
              <w:spacing w:before="0" w:after="283"/>
              <w:jc w:val="left"/>
              <w:rPr/>
            </w:pPr>
            <w:r>
              <w:rPr/>
              <w:t>10</w:t>
            </w:r>
          </w:p>
        </w:tc>
        <w:tc>
          <w:tcPr>
            <w:tcW w:w="80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9" w:type="dxa"/>
            <w:tcBorders/>
            <w:vAlign w:val="center"/>
          </w:tcPr>
          <w:p>
            <w:pPr>
              <w:pStyle w:val="TableContents"/>
              <w:bidi w:val="0"/>
              <w:spacing w:before="0" w:after="283"/>
              <w:jc w:val="left"/>
              <w:rPr/>
            </w:pPr>
            <w:r>
              <w:rPr/>
              <w:t>11</w:t>
            </w:r>
          </w:p>
        </w:tc>
        <w:tc>
          <w:tcPr>
            <w:tcW w:w="80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3.9 % </w:t>
            </w:r>
          </w:p>
        </w:tc>
      </w:tr>
      <w:tr>
        <w:trPr/>
        <w:tc>
          <w:tcPr>
            <w:tcW w:w="2189" w:type="dxa"/>
            <w:tcBorders/>
            <w:vAlign w:val="center"/>
          </w:tcPr>
          <w:p>
            <w:pPr>
              <w:pStyle w:val="TableContents"/>
              <w:bidi w:val="0"/>
              <w:spacing w:before="0" w:after="283"/>
              <w:jc w:val="left"/>
              <w:rPr/>
            </w:pPr>
            <w:r>
              <w:rPr/>
              <w:t>12</w:t>
            </w:r>
          </w:p>
        </w:tc>
        <w:tc>
          <w:tcPr>
            <w:tcW w:w="80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1,238,282 shares of Class A Common Stock issuable upon the conversion of an equivalent number of shares of Class B Common Stock beneficially owned by the Reporting Person.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 U.S. VENTURE XV MANAGEMENT, L.P. ("SC U.S. VENTURE XV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9,725,100.00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9,725,100.00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9,725,100.00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24.0 %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9,725,100 shares of Class A Common Stock issuable upon the conversion of an equivalent number of shares of Class B Common Stock beneficially owned by the Reporting Person, of which 121,541 shares are directly owned by STP XV, 1,238,282 shares are directly owned by SC XV PF, 337,996 shares are directly owned by STPQ XV, and 8,027,281 shares are directly owned by SC XV. SC U.S. VENTURE XV MANAGEMENT is the general partner of STP XV, SC XV PF, STPQ XV, and SC XV.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 U.S. GROWTH VIII MANAGEMENT, L.P. ("SC U.S. GROWTH VIII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2,132,408.00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2,132,408.00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2,132,408.00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2,132,408 shares of Class A Common Stock issuable upon the conversion of an equivalent number of shares of Class B Common Stock beneficially owned by the Reporting Person, of which 2,132,408 shares are directly owned by SEQUOIA CAPITAL U.S. GROWTH FUND VIII. SC U.S. GROWTH VIII MANAGEMENT is the general partner of SEQUOIA CAPITAL U.S. GROWTH FUND VIII.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 US (TTGP), LTD. ("SC US (TTGP)")</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11,857,508.00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11,857,508.00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11,857,508.00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27.8 %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11,857,508 shares of Class A Common Stock issuable upon the conversion of an equivalent number of shares of Class B Common Stock beneficially owned by the Reporting Person, of which 121,541 shares are directly owned by STP XV, 1,238,282 shares are directly owned by SC XV PF, 337,996 shares are directly owned by STPQ XV, 8,027,281 shares are directly owned by SC XV, and 2,132,408 shares are directly owned by SEQUOIA CAPITAL U.S. GROWTH FUND VIII. The general partner of STP XV, SC XV PF, STPQ XV, and SC XV is SC U.S. VENTURE XV MANAGEMENT. The general partner of SEQUOIA CAPITAL U.S. GROWTH FUND VIII is SC U.S. GROWTH VIII MANAGEMENT. The general partner of SC U.S. VENTURE XV MANAGEMENT and SC U.S. GROWTH VIII MANAGEMENT is SC US (TTGP).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cusipNumber10"/>
      <w:bookmarkStart w:id="47" w:name="cusipNumber10"/>
      <w:bookmarkEnd w:id="4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8" w:name="reportingPersonDetails10"/>
      <w:bookmarkStart w:id="49" w:name="reportingPersonDetails10"/>
      <w:bookmarkEnd w:id="4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SCOUT FUND IV, L.L.C. ("SCOUT FUND IV")</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142,616.00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142,616.00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142,616.00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142,616 shares of Class A Common Stock issuable upon the conversion of an equivalent number of shares of Class B Common Stock beneficially owned by the Reporting Person, of which 79,246 shares are directly owned by SPELUNKER and 63,370 shares are directly owned by NALRENA. SPELUNKER and NALRENA are wholly owned by SCOUT FUND IV.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0" w:name="cusipNumber11"/>
      <w:bookmarkStart w:id="51" w:name="cusipNumber11"/>
      <w:bookmarkEnd w:id="5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2" w:name="reportingPersonDetails11"/>
      <w:bookmarkStart w:id="53" w:name="reportingPersonDetails11"/>
      <w:bookmarkEnd w:id="53"/>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SEQUOIA CAPITAL U.S. SCOUT SEED FUND 2013, L.P. ("SC US SSF 2013")</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142,616.00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142,616.00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142,616.00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142,616 shares of Class A Common Stock issuable upon the conversion of an equivalent number of shares of Class B Common Stock beneficially owned by the Reporting Person, of which 79,246 shares are directly owned by SPELUNKER and 63,370 shares are directly owned by NALRENA. SPELUNKER and NALRENA are wholly owned by SCOUT FUND IV. SCOUT FUND IV is wholly owned by SC US SSF 2013.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4" w:name="cusipNumber12"/>
      <w:bookmarkStart w:id="55" w:name="cusipNumber12"/>
      <w:bookmarkEnd w:id="5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56" w:name="reportingPersonDetails12"/>
      <w:bookmarkStart w:id="57" w:name="reportingPersonDetails12"/>
      <w:bookmarkEnd w:id="57"/>
    </w:p>
    <w:tbl>
      <w:tblPr>
        <w:tblW w:w="10205" w:type="dxa"/>
        <w:jc w:val="left"/>
        <w:tblInd w:w="0" w:type="dxa"/>
        <w:tblLayout w:type="fixed"/>
        <w:tblCellMar>
          <w:top w:w="28" w:type="dxa"/>
          <w:left w:w="28" w:type="dxa"/>
          <w:bottom w:w="28" w:type="dxa"/>
          <w:right w:w="28" w:type="dxa"/>
        </w:tblCellMar>
      </w:tblPr>
      <w:tblGrid>
        <w:gridCol w:w="2007"/>
        <w:gridCol w:w="8198"/>
      </w:tblGrid>
      <w:tr>
        <w:trPr/>
        <w:tc>
          <w:tcPr>
            <w:tcW w:w="2007" w:type="dxa"/>
            <w:tcBorders/>
            <w:vAlign w:val="center"/>
          </w:tcPr>
          <w:p>
            <w:pPr>
              <w:pStyle w:val="TableContents"/>
              <w:bidi w:val="0"/>
              <w:spacing w:before="0" w:after="283"/>
              <w:jc w:val="left"/>
              <w:rPr/>
            </w:pPr>
            <w:r>
              <w:rPr/>
              <w:t>1</w:t>
            </w:r>
          </w:p>
        </w:tc>
        <w:tc>
          <w:tcPr>
            <w:tcW w:w="819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 U.S. SCOUT SEED FUND 2013 MANAGEMENT, L.P. ("SC SSF 2013 MGMT")</w:t>
            </w:r>
          </w:p>
        </w:tc>
      </w:tr>
      <w:tr>
        <w:trPr/>
        <w:tc>
          <w:tcPr>
            <w:tcW w:w="2007" w:type="dxa"/>
            <w:tcBorders/>
            <w:vAlign w:val="center"/>
          </w:tcPr>
          <w:p>
            <w:pPr>
              <w:pStyle w:val="TableContents"/>
              <w:bidi w:val="0"/>
              <w:spacing w:before="0" w:after="283"/>
              <w:jc w:val="left"/>
              <w:rPr/>
            </w:pPr>
            <w:r>
              <w:rPr/>
              <w:t>2</w:t>
            </w:r>
          </w:p>
        </w:tc>
        <w:tc>
          <w:tcPr>
            <w:tcW w:w="819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xml:space="preserve">  (b) </w:t>
            </w:r>
          </w:p>
        </w:tc>
      </w:tr>
      <w:tr>
        <w:trPr/>
        <w:tc>
          <w:tcPr>
            <w:tcW w:w="2007" w:type="dxa"/>
            <w:tcBorders/>
            <w:vAlign w:val="center"/>
          </w:tcPr>
          <w:p>
            <w:pPr>
              <w:pStyle w:val="TableContents"/>
              <w:bidi w:val="0"/>
              <w:spacing w:before="0" w:after="283"/>
              <w:jc w:val="left"/>
              <w:rPr/>
            </w:pPr>
            <w:r>
              <w:rPr/>
              <w:t>3</w:t>
            </w:r>
          </w:p>
        </w:tc>
        <w:tc>
          <w:tcPr>
            <w:tcW w:w="8198" w:type="dxa"/>
            <w:tcBorders/>
            <w:vAlign w:val="center"/>
          </w:tcPr>
          <w:p>
            <w:pPr>
              <w:pStyle w:val="TableContents"/>
              <w:bidi w:val="0"/>
              <w:spacing w:before="0" w:after="283"/>
              <w:jc w:val="left"/>
              <w:rPr/>
            </w:pPr>
            <w:r>
              <w:rPr/>
              <w:t>Sec Use Only</w:t>
            </w:r>
          </w:p>
        </w:tc>
      </w:tr>
      <w:tr>
        <w:trPr/>
        <w:tc>
          <w:tcPr>
            <w:tcW w:w="2007" w:type="dxa"/>
            <w:tcBorders/>
            <w:vAlign w:val="center"/>
          </w:tcPr>
          <w:p>
            <w:pPr>
              <w:pStyle w:val="TableContents"/>
              <w:bidi w:val="0"/>
              <w:spacing w:before="0" w:after="283"/>
              <w:jc w:val="left"/>
              <w:rPr/>
            </w:pPr>
            <w:r>
              <w:rPr/>
              <w:t>4</w:t>
            </w:r>
          </w:p>
        </w:tc>
        <w:tc>
          <w:tcPr>
            <w:tcW w:w="819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0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142,616.00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142,616.00</w:t>
                  </w:r>
                </w:p>
              </w:tc>
            </w:tr>
          </w:tbl>
          <w:p>
            <w:pPr>
              <w:pStyle w:val="TableContents"/>
              <w:bidi w:val="0"/>
              <w:spacing w:before="0" w:after="283"/>
              <w:jc w:val="left"/>
              <w:rPr/>
            </w:pPr>
            <w:r>
              <w:rPr/>
            </w:r>
          </w:p>
        </w:tc>
        <w:tc>
          <w:tcPr>
            <w:tcW w:w="8198" w:type="dxa"/>
            <w:tcBorders/>
            <w:vAlign w:val="center"/>
          </w:tcPr>
          <w:p>
            <w:pPr>
              <w:pStyle w:val="TableContents"/>
              <w:bidi w:val="0"/>
              <w:spacing w:before="0" w:after="283"/>
              <w:jc w:val="left"/>
              <w:rPr>
                <w:sz w:val="4"/>
                <w:szCs w:val="4"/>
              </w:rPr>
            </w:pPr>
            <w:r>
              <w:rPr>
                <w:sz w:val="4"/>
                <w:szCs w:val="4"/>
              </w:rPr>
            </w:r>
          </w:p>
        </w:tc>
      </w:tr>
      <w:tr>
        <w:trPr/>
        <w:tc>
          <w:tcPr>
            <w:tcW w:w="2007" w:type="dxa"/>
            <w:tcBorders/>
            <w:vAlign w:val="center"/>
          </w:tcPr>
          <w:p>
            <w:pPr>
              <w:pStyle w:val="TableContents"/>
              <w:bidi w:val="0"/>
              <w:spacing w:before="0" w:after="283"/>
              <w:jc w:val="left"/>
              <w:rPr/>
            </w:pPr>
            <w:r>
              <w:rPr/>
              <w:t>9</w:t>
            </w:r>
          </w:p>
        </w:tc>
        <w:tc>
          <w:tcPr>
            <w:tcW w:w="819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142,616.00</w:t>
            </w:r>
          </w:p>
        </w:tc>
      </w:tr>
      <w:tr>
        <w:trPr/>
        <w:tc>
          <w:tcPr>
            <w:tcW w:w="2007" w:type="dxa"/>
            <w:tcBorders/>
            <w:vAlign w:val="center"/>
          </w:tcPr>
          <w:p>
            <w:pPr>
              <w:pStyle w:val="TableContents"/>
              <w:bidi w:val="0"/>
              <w:spacing w:before="0" w:after="283"/>
              <w:jc w:val="left"/>
              <w:rPr/>
            </w:pPr>
            <w:r>
              <w:rPr/>
              <w:t>10</w:t>
            </w:r>
          </w:p>
        </w:tc>
        <w:tc>
          <w:tcPr>
            <w:tcW w:w="819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r>
      <w:tr>
        <w:trPr/>
        <w:tc>
          <w:tcPr>
            <w:tcW w:w="2007" w:type="dxa"/>
            <w:tcBorders/>
            <w:vAlign w:val="center"/>
          </w:tcPr>
          <w:p>
            <w:pPr>
              <w:pStyle w:val="TableContents"/>
              <w:bidi w:val="0"/>
              <w:spacing w:before="0" w:after="283"/>
              <w:jc w:val="left"/>
              <w:rPr/>
            </w:pPr>
            <w:r>
              <w:rPr/>
              <w:t>11</w:t>
            </w:r>
          </w:p>
        </w:tc>
        <w:tc>
          <w:tcPr>
            <w:tcW w:w="819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07" w:type="dxa"/>
            <w:tcBorders/>
            <w:vAlign w:val="center"/>
          </w:tcPr>
          <w:p>
            <w:pPr>
              <w:pStyle w:val="TableContents"/>
              <w:bidi w:val="0"/>
              <w:spacing w:before="0" w:after="283"/>
              <w:jc w:val="left"/>
              <w:rPr/>
            </w:pPr>
            <w:r>
              <w:rPr/>
              <w:t>12</w:t>
            </w:r>
          </w:p>
        </w:tc>
        <w:tc>
          <w:tcPr>
            <w:tcW w:w="819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142,616 shares of Class A Common Stock issuable upon the conversion of an equivalent number of shares of Class B Common Stock beneficially owned by the Reporting Person, of which 79,246 shares are directly owned by SPELUNKER and 63,370 shares are directly owned by NALRENA. SPELUNKER and NALRENA are wholly owned by SCOUT FUND IV. SCOUT FUND IV is wholly owned by SC US SSF 2013. The General Partner of SC US SSF 2013 is SC SSF 2013 MGMT.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58" w:name="cusipNumber13"/>
      <w:bookmarkStart w:id="59" w:name="cusipNumber13"/>
      <w:bookmarkEnd w:id="5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60" w:name="reportingPersonDetails13"/>
      <w:bookmarkStart w:id="61" w:name="reportingPersonDetails13"/>
      <w:bookmarkEnd w:id="61"/>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SC US SSF 2013 (TTGP), L.L.C. ("SC US SSF 2013 TTGP")</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142,616.00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142,616.00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142,616.00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Includes 142,616 shares of Class A Common Stock issuable upon the conversion of an equivalent number of shares of Class B Common Stock beneficially owned by the Reporting Person,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is the General Partner of SC SSF 2013 MGMT. Based on a total of 30,790,388 shares of Class A Common Stock outstanding as of February 28, 2026, as reported in the Issuer's Annual Report on Form 10-K filed with the Securities and Exchange Commission on March 17, 2026.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2" w:name="item1to9"/>
      <w:bookmarkStart w:id="63" w:name="item1to9"/>
      <w:bookmarkEnd w:id="63"/>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Ethos Technologies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90 New Montgomery Street, Suite 1500, San Francisco, CA 94105</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2.</w:t>
            </w:r>
          </w:p>
        </w:tc>
        <w:tc>
          <w:tcPr>
            <w:tcW w:w="8912"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SC US (TTGP), Ltd. SC U.S. Venture XV Management, L.P. Sequoia Capital U.S. Venture Fund XV, L.P. Sequoia Capital U.S. Venture Partners Fund XV, L.P. Sequoia Capital U.S. Venture XV Principals Fund, L.P. Sequoia Capital U.S. Venture Partners Fund XV (Q), L.P. SC U.S. Growth VIII Management, L.P. Sequoia Capital U.S. Growth Fund VIII, L.P. SC US SSF 2013 (TTGP), L.L.C. SC U.S. Scout Seed Fund 2013 Management, L.P. Sequoia Capital U.S. Scout Seed Fund 2013, L.P. Sequoia Capital U.S. Scout Fund IV, L.L.C. Spelunker Channel Holdings, LLC Nalrena, LLC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2800 Sand Hill Road, Suite 101,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Citizenship: </w:t>
            </w:r>
          </w:p>
          <w:p>
            <w:pPr>
              <w:pStyle w:val="TableContents"/>
              <w:bidi w:val="0"/>
              <w:spacing w:before="0" w:after="0"/>
              <w:jc w:val="left"/>
              <w:rPr/>
            </w:pPr>
            <w:r>
              <w:rPr/>
              <w:t>SC US (TTGP), Ltd., SC U.S. Venture XV Management, L.P., Sequoia Capital U.S. Venture Fund XV, L.P., Sequoia Capital U.S. Venture Partners Fund XV, L.P., Sequoia Capital U.S. Venture XV Principals Fund, L.P. , Sequoia Capital U.S. Venture Partners Fund XV (Q), L.P., SC U.S. Growth VIII Management, L.P., and Sequoia Capital U.S. Growth Fund VIII, L.P. are each organized under the laws of the Cayman Islands. Nalrena, LLC, Sequoia Capital U.S. Scout Fund IV, L.L.C., Sequoia Capital U.S. Scout Seed Fund 2013, L.P., SC U.S. Scout Seed Fund 2013 Management, L.P., Spelunker Channel Holdings, LLC, and SC US SSF 2013 (TTGP), L.L.C. are each organized under the laws of the State of Delaware.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3.</w:t>
            </w:r>
          </w:p>
        </w:tc>
        <w:tc>
          <w:tcPr>
            <w:tcW w:w="8912"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(f)</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(g)</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(h)</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(j)</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(k)</w:t>
            </w:r>
          </w:p>
        </w:tc>
        <w:tc>
          <w:tcPr>
            <w:tcW w:w="8912" w:type="dxa"/>
            <w:tcBorders/>
            <w:vAlign w:val="center"/>
          </w:tcPr>
          <w:p>
            <w:pPr>
              <w:pStyle w:val="TableContents"/>
              <w:bidi w:val="0"/>
              <w:spacing w:before="0" w:after="283"/>
              <w:jc w:val="left"/>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9067" w:type="dxa"/>
            <w:gridSpan w:val="2"/>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Includes 11,857,508 shares of Class A Common Stock issuable upon the conversion of an equivalent number of shares of Class B Common Stock beneficially owned by SC US (TTGP), of which 121,541 shares are directly owned by STP XV, 1,238,282 shares are directly owned by SC XV PF, 337,996 shares are directly owned by STPQ XV, 8,027,281 shares are directly owned by SC XV, and 2,132,408 shares are directly owned by SEQUOIA CAPITAL U.S. GROWTH FUND VIII. The general partner of STP XV, SC XV PF, STPQ XV, and SC XV is SC U.S. VENTURE XV MANAGEMENT. The general partner of SEQUOIA CAPITAL U.S. GROWTH FUND VIII is SC U.S. GROWTH VIII MANAGEMENT. The general partner of SC U.S. VENTURE XV MANAGEMENT and SC U.S. GROWTH VIII MANAGEMENT is SC US (TTGP). Includes 142,616 shares of Class A Common Stock issuable upon the conversion of an equivalent number of shares of Class B Common Stock beneficially owned by SC US SSF 2013 TTGP,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is the General Partner of SC SSF 2013 MGMT.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27.8%; 0.5%. Based on a total of 30,790,388 shares of Class A Common Stock outstanding as of February 28, 2026, as reported in the Issuer's Annual Report on Form 10-K filed with the Securities and Exchange Commission on March 17, 2026.  %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 xml:space="preserve">Sequoia Capital U.S. Venture Partners Fund XV, L.P.: 121,541 Sequoia Capital U.S. Growth Fund VIII, L.P.: 2,132,408 Sequoia Capital U.S. Venture Partners Fund XV (Q), L.P.: 337,996 Sequoia Capital U.S. Venture Fund XV, L.P.: 8,027,281 Spelunker Channel Holdings, LLC: 79,246 Nalrena, LLC: 63,370 Sequoia Capital U.S. Venture XV Principals Fund, L.P.: 1,238,282 SC U.S. Venture XV Management, L.P.: 9,725,100 shares, of which 121,541 shares are directly owned by STP XV, 1,238,282 shares are directly owned by SC XV PF, 337,996 shares are directly owned by STPQ XV, and 8,027,281 shares are directly owned by SC XV. SC U.S. VENTURE XV MANAGEMENT is the general partner of STP XV, SC XV PF, STPQ XV, and SC XV. SC U.S. Growth VIII Management, L.P.: 2,132,408 shares, of which 2,132,408 shares are directly owned by SEQUOIA CAPITAL U.S. GROWTH FUND VIII. SC U.S. GROWTH VIII MANAGEMENT is the general partner of SEQUOIA CAPITAL U.S. GROWTH FUND VIII. SC US (TTGP), Ltd.: 11,857,508 shares, of which 121,541 shares are directly owned by STP XV, 1,238,282 shares are directly owned by SC XV PF, 337,996 shares are directly owned by STPQ XV, 8,027,281 shares are directly owned by SC XV, and 2,132,408 shares are directly owned by SEQUOIA CAPITAL U.S. GROWTH FUND VIII. The general partner of STP XV, SC XV PF, STPQ XV, and SC XV is SC U.S. VENTURE XV MANAGEMENT. The general partner of SEQUOIA CAPITAL U.S. GROWTH FUND VIII is SC U.S. GROWTH VIII MANAGEMENT. The general partner of SC U.S. VENTURE XV MANAGEMENT and SC U.S. GROWTH VIII MANAGEMENT is SC US (TTGP). Sequoia Capital U.S. Scout Fund IV, L.L.C.: 142,616 shares, of which 79,246 shares are directly owned by SPELUNKER and 63,370 shares are directly owned by NALRENA. SPELUNKER and NALRENA are wholly owned by SCOUT FUND IV. Sequoia Capital U.S. Scout Seed Fund 2013, L.P.: 142,616 shares, of which 79,246 shares are directly owned by SPELUNKER and 63,370 shares are directly owned by NALRENA. SPELUNKER and NALRENA are wholly owned by SCOUT FUND IV. SCOUT FUND IV is wholly owned by SC US SSF 2013. SC U.S. Scout Seed Fund 2013 Management, L.P.: 142,616 shares,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L.L.C.: 142,616 shares,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is the General Partner of SC SSF 2013 MGMT.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 xml:space="preserve">Sequoia Capital U.S. Venture Partners Fund XV, L.P.: 121,541 Sequoia Capital U.S. Growth Fund VIII, L.P.: 2,132,408 Sequoia Capital U.S. Venture Partners Fund XV (Q), L.P.: 337,996 Sequoia Capital U.S. Venture Fund XV, L.P.: 8,027,281 Spelunker Channel Holdings, LLC: 79,246 Nalrena, LLC: 63,370 Sequoia Capital U.S. Venture XV Principals Fund, L.P.: 1,238,282 SC U.S. Venture XV Management, L.P.: 9,725,100 shares, of which 121,541 shares are directly owned by STP XV, 1,238,282 shares are directly owned by SC XV PF, 337,996 shares are directly owned by STPQ XV, and 8,027,281 shares are directly owned by SC XV. SC U.S. VENTURE XV MANAGEMENT is the general partner of STP XV, SC XV PF, STPQ XV, and SC XV. SC U.S. Growth VIII Management, L.P.: 2,132,408 shares, of which 2,132,408 shares are directly owned by SEQUOIA CAPITAL U.S. GROWTH FUND VIII. SC U.S. GROWTH VIII MANAGEMENT is the general partner of SEQUOIA CAPITAL U.S. GROWTH FUND VIII. SC US (TTGP), Ltd.: 11,857,508 shares, of which 121,541 shares are directly owned by STP XV, 1,238,282 shares are directly owned by SC XV PF, 337,996 shares are directly owned by STPQ XV, 8,027,281 shares are directly owned by SC XV, and 2,132,408 shares are directly owned by SEQUOIA CAPITAL U.S. GROWTH FUND VIII. The general partner of STP XV, SC XV PF, STPQ XV, and SC XV is SC U.S. VENTURE XV MANAGEMENT. The general partner of SEQUOIA CAPITAL U.S. GROWTH FUND VIII is SC U.S. GROWTH VIII MANAGEMENT. The general partner of SC U.S. VENTURE XV MANAGEMENT and SC U.S. GROWTH VIII MANAGEMENT is SC US (TTGP). Sequoia Capital U.S. Scout Fund IV, L.L.C.: 142,616 shares, of which 79,246 shares are directly owned by SPELUNKER and 63,370 shares are directly owned by NALRENA. SPELUNKER and NALRENA are wholly owned by SCOUT FUND IV. Sequoia Capital U.S. Scout Seed Fund 2013, L.P.: 142,616 shares, of which 79,246 shares are directly owned by SPELUNKER and 63,370 shares are directly owned by NALRENA. SPELUNKER and NALRENA are wholly owned by SCOUT FUND IV. SCOUT FUND IV is wholly owned by SC US SSF 2013. SC U.S. Scout Seed Fund 2013 Management, L.P.: 142,616 shares,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L.L.C.: 142,616 shares, of which 79,246 shares are directly owned by SPELUNKER and 63,370 shares are directly owned by NALRENA. SPELUNKER and NALRENA are wholly owned by SCOUT FUND IV. SCOUT FUND IV is wholly owned by SC US SSF 2013. The General Partner of SC US SSF 2013 is SC SSF 2013 MGMT. SC US SSF 2013 TTGP is the General Partner of SC SSF 2013 MGMT.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8912"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7.</w:t>
            </w:r>
          </w:p>
        </w:tc>
        <w:tc>
          <w:tcPr>
            <w:tcW w:w="8912"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8.</w:t>
            </w:r>
          </w:p>
        </w:tc>
        <w:tc>
          <w:tcPr>
            <w:tcW w:w="8912"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9.</w:t>
            </w:r>
          </w:p>
        </w:tc>
        <w:tc>
          <w:tcPr>
            <w:tcW w:w="8912"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4" w:name="certifications"/>
      <w:bookmarkStart w:id="65" w:name="certifications"/>
      <w:bookmarkEnd w:id="65"/>
    </w:p>
    <w:tbl>
      <w:tblPr>
        <w:tblW w:w="10205" w:type="dxa"/>
        <w:jc w:val="left"/>
        <w:tblInd w:w="0" w:type="dxa"/>
        <w:tblLayout w:type="fixed"/>
        <w:tblCellMar>
          <w:top w:w="28" w:type="dxa"/>
          <w:left w:w="28" w:type="dxa"/>
          <w:bottom w:w="28" w:type="dxa"/>
          <w:right w:w="28" w:type="dxa"/>
        </w:tblCellMar>
      </w:tblPr>
      <w:tblGrid>
        <w:gridCol w:w="874"/>
        <w:gridCol w:w="9331"/>
      </w:tblGrid>
      <w:tr>
        <w:trPr/>
        <w:tc>
          <w:tcPr>
            <w:tcW w:w="874" w:type="dxa"/>
            <w:tcBorders/>
            <w:vAlign w:val="center"/>
          </w:tcPr>
          <w:p>
            <w:pPr>
              <w:pStyle w:val="TableContents"/>
              <w:bidi w:val="0"/>
              <w:spacing w:before="0" w:after="283"/>
              <w:jc w:val="left"/>
              <w:rPr/>
            </w:pPr>
            <w:r>
              <w:rPr/>
              <w:t>Item 10.</w:t>
            </w:r>
          </w:p>
        </w:tc>
        <w:tc>
          <w:tcPr>
            <w:tcW w:w="9331" w:type="dxa"/>
            <w:tcBorders/>
            <w:vAlign w:val="center"/>
          </w:tcPr>
          <w:p>
            <w:pPr>
              <w:pStyle w:val="TableContents"/>
              <w:bidi w:val="0"/>
              <w:spacing w:before="0" w:after="283"/>
              <w:jc w:val="left"/>
              <w:rPr/>
            </w:pPr>
            <w:r>
              <w:rPr/>
              <w:t>Certifications:</w:t>
            </w:r>
          </w:p>
        </w:tc>
      </w:tr>
      <w:tr>
        <w:trPr/>
        <w:tc>
          <w:tcPr>
            <w:tcW w:w="874" w:type="dxa"/>
            <w:tcBorders/>
            <w:vAlign w:val="center"/>
          </w:tcPr>
          <w:p>
            <w:pPr>
              <w:pStyle w:val="TableContents"/>
              <w:bidi w:val="0"/>
              <w:spacing w:before="0" w:after="283"/>
              <w:jc w:val="left"/>
              <w:rPr/>
            </w:pPr>
            <w:r>
              <w:rPr/>
              <w:t> </w:t>
            </w:r>
          </w:p>
        </w:tc>
        <w:tc>
          <w:tcPr>
            <w:tcW w:w="9331"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66" w:name="signatureInfo"/>
      <w:bookmarkStart w:id="67" w:name="signatureInfo"/>
      <w:bookmarkEnd w:id="6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10205" w:type="dxa"/>
        <w:jc w:val="left"/>
        <w:tblInd w:w="0" w:type="dxa"/>
        <w:tblLayout w:type="fixed"/>
        <w:tblCellMar>
          <w:top w:w="28" w:type="dxa"/>
          <w:left w:w="28" w:type="dxa"/>
          <w:bottom w:w="28" w:type="dxa"/>
          <w:right w:w="28" w:type="dxa"/>
        </w:tblCellMar>
      </w:tblPr>
      <w:tblGrid>
        <w:gridCol w:w="5410"/>
        <w:gridCol w:w="4795"/>
      </w:tblGrid>
      <w:tr>
        <w:trPr/>
        <w:tc>
          <w:tcPr>
            <w:tcW w:w="5410" w:type="dxa"/>
            <w:tcBorders/>
            <w:vAlign w:val="center"/>
          </w:tcPr>
          <w:p>
            <w:pPr>
              <w:pStyle w:val="TableContents"/>
              <w:bidi w:val="0"/>
              <w:spacing w:before="0" w:after="0"/>
              <w:jc w:val="left"/>
              <w:rPr/>
            </w:pPr>
            <w:r>
              <w:rPr/>
              <w:t> </w:t>
            </w:r>
          </w:p>
          <w:tbl>
            <w:tblPr>
              <w:tblW w:w="8311" w:type="dxa"/>
              <w:jc w:val="left"/>
              <w:tblInd w:w="0" w:type="dxa"/>
              <w:tblLayout w:type="fixed"/>
              <w:tblCellMar>
                <w:top w:w="28" w:type="dxa"/>
                <w:left w:w="28" w:type="dxa"/>
                <w:bottom w:w="28" w:type="dxa"/>
                <w:right w:w="28" w:type="dxa"/>
              </w:tblCellMar>
            </w:tblPr>
            <w:tblGrid>
              <w:gridCol w:w="8311"/>
            </w:tblGrid>
            <w:tr>
              <w:trPr/>
              <w:tc>
                <w:tcPr>
                  <w:tcW w:w="8311" w:type="dxa"/>
                  <w:tcBorders/>
                  <w:vAlign w:val="center"/>
                </w:tcPr>
                <w:p>
                  <w:pPr>
                    <w:pStyle w:val="TableContents"/>
                    <w:bidi w:val="0"/>
                    <w:spacing w:before="0" w:after="0"/>
                    <w:jc w:val="left"/>
                    <w:rPr/>
                  </w:pPr>
                  <w:r>
                    <w:rPr/>
                    <w:t>SEQUOIA CAPITAL U.S. VENTURE PARTNERS FUND XV, L.P. ("STP XV")</w:t>
                  </w:r>
                </w:p>
              </w:tc>
            </w:tr>
          </w:tbl>
          <w:p>
            <w:pPr>
              <w:pStyle w:val="TableContents"/>
              <w:bidi w:val="0"/>
              <w:spacing w:before="0" w:after="283"/>
              <w:jc w:val="left"/>
              <w:rPr/>
            </w:pPr>
            <w:r>
              <w:rPr/>
            </w:r>
          </w:p>
        </w:tc>
        <w:tc>
          <w:tcPr>
            <w:tcW w:w="47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11"/>
        <w:gridCol w:w="4694"/>
      </w:tblGrid>
      <w:tr>
        <w:trPr/>
        <w:tc>
          <w:tcPr>
            <w:tcW w:w="55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jc w:val="left"/>
                    <w:rPr/>
                  </w:pPr>
                  <w:r>
                    <w:rPr/>
                    <w:t>SEQUOIA CAPITAL U.S. GROWTH FUND VIII, L.P. ("SEQUOIA CAPITAL U.S. GROWTH FUND VIII")</w:t>
                  </w:r>
                </w:p>
              </w:tc>
            </w:tr>
          </w:tbl>
          <w:p>
            <w:pPr>
              <w:pStyle w:val="TableContents"/>
              <w:bidi w:val="0"/>
              <w:spacing w:before="0" w:after="283"/>
              <w:jc w:val="left"/>
              <w:rPr/>
            </w:pPr>
            <w:r>
              <w:rPr/>
            </w:r>
          </w:p>
        </w:tc>
        <w:tc>
          <w:tcPr>
            <w:tcW w:w="46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36"/>
        <w:gridCol w:w="4769"/>
      </w:tblGrid>
      <w:tr>
        <w:trPr/>
        <w:tc>
          <w:tcPr>
            <w:tcW w:w="5436" w:type="dxa"/>
            <w:tcBorders/>
            <w:vAlign w:val="center"/>
          </w:tcPr>
          <w:p>
            <w:pPr>
              <w:pStyle w:val="TableContents"/>
              <w:bidi w:val="0"/>
              <w:spacing w:before="0" w:after="0"/>
              <w:jc w:val="left"/>
              <w:rPr/>
            </w:pPr>
            <w:r>
              <w:rPr/>
              <w:t> </w:t>
            </w:r>
          </w:p>
          <w:tbl>
            <w:tblPr>
              <w:tblW w:w="8881" w:type="dxa"/>
              <w:jc w:val="left"/>
              <w:tblInd w:w="0" w:type="dxa"/>
              <w:tblLayout w:type="fixed"/>
              <w:tblCellMar>
                <w:top w:w="28" w:type="dxa"/>
                <w:left w:w="28" w:type="dxa"/>
                <w:bottom w:w="28" w:type="dxa"/>
                <w:right w:w="28" w:type="dxa"/>
              </w:tblCellMar>
            </w:tblPr>
            <w:tblGrid>
              <w:gridCol w:w="8881"/>
            </w:tblGrid>
            <w:tr>
              <w:trPr/>
              <w:tc>
                <w:tcPr>
                  <w:tcW w:w="8881" w:type="dxa"/>
                  <w:tcBorders/>
                  <w:vAlign w:val="center"/>
                </w:tcPr>
                <w:p>
                  <w:pPr>
                    <w:pStyle w:val="TableContents"/>
                    <w:bidi w:val="0"/>
                    <w:spacing w:before="0" w:after="0"/>
                    <w:jc w:val="left"/>
                    <w:rPr/>
                  </w:pPr>
                  <w:r>
                    <w:rPr/>
                    <w:t>SEQUOIA CAPITAL U.S. VENTURE PARTNERS FUND XV (Q), L.P. ("STPQ XV")</w:t>
                  </w:r>
                </w:p>
              </w:tc>
            </w:tr>
          </w:tbl>
          <w:p>
            <w:pPr>
              <w:pStyle w:val="TableContents"/>
              <w:bidi w:val="0"/>
              <w:spacing w:before="0" w:after="283"/>
              <w:jc w:val="left"/>
              <w:rPr/>
            </w:pPr>
            <w:r>
              <w:rPr/>
            </w:r>
          </w:p>
        </w:tc>
        <w:tc>
          <w:tcPr>
            <w:tcW w:w="476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95"/>
        <w:gridCol w:w="4910"/>
      </w:tblGrid>
      <w:tr>
        <w:trPr/>
        <w:tc>
          <w:tcPr>
            <w:tcW w:w="5295" w:type="dxa"/>
            <w:tcBorders/>
            <w:vAlign w:val="center"/>
          </w:tcPr>
          <w:p>
            <w:pPr>
              <w:pStyle w:val="TableContents"/>
              <w:bidi w:val="0"/>
              <w:spacing w:before="0" w:after="0"/>
              <w:jc w:val="left"/>
              <w:rPr/>
            </w:pPr>
            <w:r>
              <w:rPr/>
              <w:t> </w:t>
            </w:r>
          </w:p>
          <w:tbl>
            <w:tblPr>
              <w:tblW w:w="6871" w:type="dxa"/>
              <w:jc w:val="left"/>
              <w:tblInd w:w="0" w:type="dxa"/>
              <w:tblLayout w:type="fixed"/>
              <w:tblCellMar>
                <w:top w:w="28" w:type="dxa"/>
                <w:left w:w="28" w:type="dxa"/>
                <w:bottom w:w="28" w:type="dxa"/>
                <w:right w:w="28" w:type="dxa"/>
              </w:tblCellMar>
            </w:tblPr>
            <w:tblGrid>
              <w:gridCol w:w="6871"/>
            </w:tblGrid>
            <w:tr>
              <w:trPr/>
              <w:tc>
                <w:tcPr>
                  <w:tcW w:w="6871" w:type="dxa"/>
                  <w:tcBorders/>
                  <w:vAlign w:val="center"/>
                </w:tcPr>
                <w:p>
                  <w:pPr>
                    <w:pStyle w:val="TableContents"/>
                    <w:bidi w:val="0"/>
                    <w:spacing w:before="0" w:after="0"/>
                    <w:jc w:val="left"/>
                    <w:rPr/>
                  </w:pPr>
                  <w:r>
                    <w:rPr/>
                    <w:t>SEQUOIA CAPITAL U.S. VENTURE FUND XV, L.P. ("SC XV")</w:t>
                  </w:r>
                </w:p>
              </w:tc>
            </w:tr>
          </w:tbl>
          <w:p>
            <w:pPr>
              <w:pStyle w:val="TableContents"/>
              <w:bidi w:val="0"/>
              <w:spacing w:before="0" w:after="283"/>
              <w:jc w:val="left"/>
              <w:rPr/>
            </w:pPr>
            <w:r>
              <w:rPr/>
            </w:r>
          </w:p>
        </w:tc>
        <w:tc>
          <w:tcPr>
            <w:tcW w:w="491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44"/>
        <w:gridCol w:w="4861"/>
      </w:tblGrid>
      <w:tr>
        <w:trPr/>
        <w:tc>
          <w:tcPr>
            <w:tcW w:w="5344" w:type="dxa"/>
            <w:tcBorders/>
            <w:vAlign w:val="center"/>
          </w:tcPr>
          <w:p>
            <w:pPr>
              <w:pStyle w:val="TableContents"/>
              <w:bidi w:val="0"/>
              <w:spacing w:before="0" w:after="0"/>
              <w:jc w:val="left"/>
              <w:rPr/>
            </w:pPr>
            <w:r>
              <w:rPr/>
              <w:t> </w:t>
            </w:r>
          </w:p>
          <w:tbl>
            <w:tblPr>
              <w:tblW w:w="6586" w:type="dxa"/>
              <w:jc w:val="left"/>
              <w:tblInd w:w="0" w:type="dxa"/>
              <w:tblLayout w:type="fixed"/>
              <w:tblCellMar>
                <w:top w:w="28" w:type="dxa"/>
                <w:left w:w="28" w:type="dxa"/>
                <w:bottom w:w="28" w:type="dxa"/>
                <w:right w:w="28" w:type="dxa"/>
              </w:tblCellMar>
            </w:tblPr>
            <w:tblGrid>
              <w:gridCol w:w="6586"/>
            </w:tblGrid>
            <w:tr>
              <w:trPr/>
              <w:tc>
                <w:tcPr>
                  <w:tcW w:w="6586" w:type="dxa"/>
                  <w:tcBorders/>
                  <w:vAlign w:val="center"/>
                </w:tcPr>
                <w:p>
                  <w:pPr>
                    <w:pStyle w:val="TableContents"/>
                    <w:bidi w:val="0"/>
                    <w:spacing w:before="0" w:after="0"/>
                    <w:jc w:val="left"/>
                    <w:rPr/>
                  </w:pPr>
                  <w:r>
                    <w:rPr/>
                    <w:t>SPELUNKER CHANNEL HOLDINGS, LLC ("SPELUNKER")</w:t>
                  </w:r>
                </w:p>
              </w:tc>
            </w:tr>
          </w:tbl>
          <w:p>
            <w:pPr>
              <w:pStyle w:val="TableContents"/>
              <w:bidi w:val="0"/>
              <w:spacing w:before="0" w:after="283"/>
              <w:jc w:val="left"/>
              <w:rPr/>
            </w:pPr>
            <w:r>
              <w:rPr/>
            </w:r>
          </w:p>
        </w:tc>
        <w:tc>
          <w:tcPr>
            <w:tcW w:w="486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NALRENA, LLC ("NALRENA")</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461"/>
        <w:gridCol w:w="4744"/>
      </w:tblGrid>
      <w:tr>
        <w:trPr/>
        <w:tc>
          <w:tcPr>
            <w:tcW w:w="5461" w:type="dxa"/>
            <w:tcBorders/>
            <w:vAlign w:val="center"/>
          </w:tcPr>
          <w:p>
            <w:pPr>
              <w:pStyle w:val="TableContents"/>
              <w:bidi w:val="0"/>
              <w:spacing w:before="0" w:after="0"/>
              <w:jc w:val="left"/>
              <w:rPr/>
            </w:pPr>
            <w:r>
              <w:rPr/>
              <w:t> </w:t>
            </w:r>
          </w:p>
          <w:tbl>
            <w:tblPr>
              <w:tblW w:w="8656" w:type="dxa"/>
              <w:jc w:val="left"/>
              <w:tblInd w:w="0" w:type="dxa"/>
              <w:tblLayout w:type="fixed"/>
              <w:tblCellMar>
                <w:top w:w="28" w:type="dxa"/>
                <w:left w:w="28" w:type="dxa"/>
                <w:bottom w:w="28" w:type="dxa"/>
                <w:right w:w="28" w:type="dxa"/>
              </w:tblCellMar>
            </w:tblPr>
            <w:tblGrid>
              <w:gridCol w:w="8656"/>
            </w:tblGrid>
            <w:tr>
              <w:trPr/>
              <w:tc>
                <w:tcPr>
                  <w:tcW w:w="8656" w:type="dxa"/>
                  <w:tcBorders/>
                  <w:vAlign w:val="center"/>
                </w:tcPr>
                <w:p>
                  <w:pPr>
                    <w:pStyle w:val="TableContents"/>
                    <w:bidi w:val="0"/>
                    <w:spacing w:before="0" w:after="0"/>
                    <w:jc w:val="left"/>
                    <w:rPr/>
                  </w:pPr>
                  <w:r>
                    <w:rPr/>
                    <w:t>SEQUOIA CAPITAL U.S. VENTURE XV PRINCIPALS FUND, L.P. ("SC XV PF")</w:t>
                  </w:r>
                </w:p>
              </w:tc>
            </w:tr>
          </w:tbl>
          <w:p>
            <w:pPr>
              <w:pStyle w:val="TableContents"/>
              <w:bidi w:val="0"/>
              <w:spacing w:before="0" w:after="283"/>
              <w:jc w:val="left"/>
              <w:rPr/>
            </w:pPr>
            <w:r>
              <w:rPr/>
            </w:r>
          </w:p>
        </w:tc>
        <w:tc>
          <w:tcPr>
            <w:tcW w:w="474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32"/>
        <w:gridCol w:w="4573"/>
      </w:tblGrid>
      <w:tr>
        <w:trPr/>
        <w:tc>
          <w:tcPr>
            <w:tcW w:w="5632" w:type="dxa"/>
            <w:tcBorders/>
            <w:vAlign w:val="center"/>
          </w:tcPr>
          <w:p>
            <w:pPr>
              <w:pStyle w:val="TableContents"/>
              <w:bidi w:val="0"/>
              <w:spacing w:before="0" w:after="0"/>
              <w:jc w:val="left"/>
              <w:rPr/>
            </w:pPr>
            <w:r>
              <w:rPr/>
              <w:t> </w:t>
            </w:r>
          </w:p>
          <w:tbl>
            <w:tblPr>
              <w:tblW w:w="9631" w:type="dxa"/>
              <w:jc w:val="left"/>
              <w:tblInd w:w="0" w:type="dxa"/>
              <w:tblLayout w:type="fixed"/>
              <w:tblCellMar>
                <w:top w:w="28" w:type="dxa"/>
                <w:left w:w="28" w:type="dxa"/>
                <w:bottom w:w="28" w:type="dxa"/>
                <w:right w:w="28" w:type="dxa"/>
              </w:tblCellMar>
            </w:tblPr>
            <w:tblGrid>
              <w:gridCol w:w="9631"/>
            </w:tblGrid>
            <w:tr>
              <w:trPr/>
              <w:tc>
                <w:tcPr>
                  <w:tcW w:w="9631" w:type="dxa"/>
                  <w:tcBorders/>
                  <w:vAlign w:val="center"/>
                </w:tcPr>
                <w:p>
                  <w:pPr>
                    <w:pStyle w:val="TableContents"/>
                    <w:bidi w:val="0"/>
                    <w:spacing w:before="0" w:after="0"/>
                    <w:jc w:val="left"/>
                    <w:rPr/>
                  </w:pPr>
                  <w:r>
                    <w:rPr/>
                    <w:t>SC U.S. VENTURE XV MANAGEMENT, L.P. ("SC U.S. VENTURE XV MANAGEMENT")</w:t>
                  </w:r>
                </w:p>
              </w:tc>
            </w:tr>
          </w:tbl>
          <w:p>
            <w:pPr>
              <w:pStyle w:val="TableContents"/>
              <w:bidi w:val="0"/>
              <w:spacing w:before="0" w:after="283"/>
              <w:jc w:val="left"/>
              <w:rPr/>
            </w:pPr>
            <w:r>
              <w:rPr/>
            </w:r>
          </w:p>
        </w:tc>
        <w:tc>
          <w:tcPr>
            <w:tcW w:w="457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29"/>
        <w:gridCol w:w="4576"/>
      </w:tblGrid>
      <w:tr>
        <w:trPr/>
        <w:tc>
          <w:tcPr>
            <w:tcW w:w="5629" w:type="dxa"/>
            <w:tcBorders/>
            <w:vAlign w:val="center"/>
          </w:tcPr>
          <w:p>
            <w:pPr>
              <w:pStyle w:val="TableContents"/>
              <w:bidi w:val="0"/>
              <w:spacing w:before="0" w:after="0"/>
              <w:jc w:val="left"/>
              <w:rPr/>
            </w:pPr>
            <w:r>
              <w:rPr/>
              <w:t> </w:t>
            </w:r>
          </w:p>
          <w:tbl>
            <w:tblPr>
              <w:tblW w:w="9571" w:type="dxa"/>
              <w:jc w:val="left"/>
              <w:tblInd w:w="0" w:type="dxa"/>
              <w:tblLayout w:type="fixed"/>
              <w:tblCellMar>
                <w:top w:w="28" w:type="dxa"/>
                <w:left w:w="28" w:type="dxa"/>
                <w:bottom w:w="28" w:type="dxa"/>
                <w:right w:w="28" w:type="dxa"/>
              </w:tblCellMar>
            </w:tblPr>
            <w:tblGrid>
              <w:gridCol w:w="9571"/>
            </w:tblGrid>
            <w:tr>
              <w:trPr/>
              <w:tc>
                <w:tcPr>
                  <w:tcW w:w="9571" w:type="dxa"/>
                  <w:tcBorders/>
                  <w:vAlign w:val="center"/>
                </w:tcPr>
                <w:p>
                  <w:pPr>
                    <w:pStyle w:val="TableContents"/>
                    <w:bidi w:val="0"/>
                    <w:spacing w:before="0" w:after="0"/>
                    <w:jc w:val="left"/>
                    <w:rPr/>
                  </w:pPr>
                  <w:r>
                    <w:rPr/>
                    <w:t>SC U.S. GROWTH VIII MANAGEMENT, L.P. ("SC U.S. GROWTH VIII MANAGEMENT")</w:t>
                  </w:r>
                </w:p>
              </w:tc>
            </w:tr>
          </w:tbl>
          <w:p>
            <w:pPr>
              <w:pStyle w:val="TableContents"/>
              <w:bidi w:val="0"/>
              <w:spacing w:before="0" w:after="283"/>
              <w:jc w:val="left"/>
              <w:rPr/>
            </w:pPr>
            <w:r>
              <w:rPr/>
            </w:r>
          </w:p>
        </w:tc>
        <w:tc>
          <w:tcPr>
            <w:tcW w:w="457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8824" w:type="dxa"/>
        <w:jc w:val="left"/>
        <w:tblInd w:w="0" w:type="dxa"/>
        <w:tblLayout w:type="fixed"/>
        <w:tblCellMar>
          <w:top w:w="28" w:type="dxa"/>
          <w:left w:w="28" w:type="dxa"/>
          <w:bottom w:w="28" w:type="dxa"/>
          <w:right w:w="28" w:type="dxa"/>
        </w:tblCellMar>
      </w:tblPr>
      <w:tblGrid>
        <w:gridCol w:w="4412"/>
        <w:gridCol w:w="4412"/>
      </w:tblGrid>
      <w:tr>
        <w:trPr/>
        <w:tc>
          <w:tcPr>
            <w:tcW w:w="4412" w:type="dxa"/>
            <w:tcBorders/>
            <w:vAlign w:val="center"/>
          </w:tcPr>
          <w:p>
            <w:pPr>
              <w:pStyle w:val="TableContents"/>
              <w:bidi w:val="0"/>
              <w:spacing w:before="0" w:after="0"/>
              <w:jc w:val="left"/>
              <w:rPr/>
            </w:pPr>
            <w:r>
              <w:rPr/>
              <w:t> </w:t>
            </w:r>
          </w:p>
          <w:tbl>
            <w:tblPr>
              <w:tblW w:w="4246" w:type="dxa"/>
              <w:jc w:val="left"/>
              <w:tblInd w:w="0" w:type="dxa"/>
              <w:tblLayout w:type="fixed"/>
              <w:tblCellMar>
                <w:top w:w="28" w:type="dxa"/>
                <w:left w:w="28" w:type="dxa"/>
                <w:bottom w:w="28" w:type="dxa"/>
                <w:right w:w="28" w:type="dxa"/>
              </w:tblCellMar>
            </w:tblPr>
            <w:tblGrid>
              <w:gridCol w:w="4246"/>
            </w:tblGrid>
            <w:tr>
              <w:trPr/>
              <w:tc>
                <w:tcPr>
                  <w:tcW w:w="4246" w:type="dxa"/>
                  <w:tcBorders/>
                  <w:vAlign w:val="center"/>
                </w:tcPr>
                <w:p>
                  <w:pPr>
                    <w:pStyle w:val="TableContents"/>
                    <w:bidi w:val="0"/>
                    <w:spacing w:before="0" w:after="0"/>
                    <w:jc w:val="left"/>
                    <w:rPr/>
                  </w:pPr>
                  <w:r>
                    <w:rPr/>
                    <w:t>SC US (TTGP), LTD. ("SC US (TTGP)")</w:t>
                  </w:r>
                </w:p>
              </w:tc>
            </w:tr>
          </w:tbl>
          <w:p>
            <w:pPr>
              <w:pStyle w:val="TableContents"/>
              <w:bidi w:val="0"/>
              <w:spacing w:before="0" w:after="283"/>
              <w:jc w:val="left"/>
              <w:rPr/>
            </w:pPr>
            <w:r>
              <w:rPr/>
            </w:r>
          </w:p>
        </w:tc>
        <w:tc>
          <w:tcPr>
            <w:tcW w:w="44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43"/>
        <w:gridCol w:w="4862"/>
      </w:tblGrid>
      <w:tr>
        <w:trPr/>
        <w:tc>
          <w:tcPr>
            <w:tcW w:w="5343" w:type="dxa"/>
            <w:tcBorders/>
            <w:vAlign w:val="center"/>
          </w:tcPr>
          <w:p>
            <w:pPr>
              <w:pStyle w:val="TableContents"/>
              <w:bidi w:val="0"/>
              <w:spacing w:before="0" w:after="0"/>
              <w:jc w:val="left"/>
              <w:rPr/>
            </w:pPr>
            <w:r>
              <w:rPr/>
              <w:t> </w:t>
            </w:r>
          </w:p>
          <w:tbl>
            <w:tblPr>
              <w:tblW w:w="7801" w:type="dxa"/>
              <w:jc w:val="left"/>
              <w:tblInd w:w="0" w:type="dxa"/>
              <w:tblLayout w:type="fixed"/>
              <w:tblCellMar>
                <w:top w:w="28" w:type="dxa"/>
                <w:left w:w="28" w:type="dxa"/>
                <w:bottom w:w="28" w:type="dxa"/>
                <w:right w:w="28" w:type="dxa"/>
              </w:tblCellMar>
            </w:tblPr>
            <w:tblGrid>
              <w:gridCol w:w="7801"/>
            </w:tblGrid>
            <w:tr>
              <w:trPr/>
              <w:tc>
                <w:tcPr>
                  <w:tcW w:w="7801" w:type="dxa"/>
                  <w:tcBorders/>
                  <w:vAlign w:val="center"/>
                </w:tcPr>
                <w:p>
                  <w:pPr>
                    <w:pStyle w:val="TableContents"/>
                    <w:bidi w:val="0"/>
                    <w:spacing w:before="0" w:after="0"/>
                    <w:jc w:val="left"/>
                    <w:rPr/>
                  </w:pPr>
                  <w:r>
                    <w:rPr/>
                    <w:t>SEQUOIA CAPITAL U.S. SCOUT FUND IV, L.L.C. ("SCOUT FUND IV")</w:t>
                  </w:r>
                </w:p>
              </w:tc>
            </w:tr>
          </w:tbl>
          <w:p>
            <w:pPr>
              <w:pStyle w:val="TableContents"/>
              <w:bidi w:val="0"/>
              <w:spacing w:before="0" w:after="283"/>
              <w:jc w:val="left"/>
              <w:rPr/>
            </w:pPr>
            <w:r>
              <w:rPr/>
            </w:r>
          </w:p>
        </w:tc>
        <w:tc>
          <w:tcPr>
            <w:tcW w:w="4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365"/>
        <w:gridCol w:w="4840"/>
      </w:tblGrid>
      <w:tr>
        <w:trPr/>
        <w:tc>
          <w:tcPr>
            <w:tcW w:w="5365" w:type="dxa"/>
            <w:tcBorders/>
            <w:vAlign w:val="center"/>
          </w:tcPr>
          <w:p>
            <w:pPr>
              <w:pStyle w:val="TableContents"/>
              <w:bidi w:val="0"/>
              <w:spacing w:before="0" w:after="0"/>
              <w:jc w:val="left"/>
              <w:rPr/>
            </w:pPr>
            <w:r>
              <w:rPr/>
              <w:t> </w:t>
            </w:r>
          </w:p>
          <w:tbl>
            <w:tblPr>
              <w:tblW w:w="8281" w:type="dxa"/>
              <w:jc w:val="left"/>
              <w:tblInd w:w="0" w:type="dxa"/>
              <w:tblLayout w:type="fixed"/>
              <w:tblCellMar>
                <w:top w:w="28" w:type="dxa"/>
                <w:left w:w="28" w:type="dxa"/>
                <w:bottom w:w="28" w:type="dxa"/>
                <w:right w:w="28" w:type="dxa"/>
              </w:tblCellMar>
            </w:tblPr>
            <w:tblGrid>
              <w:gridCol w:w="8281"/>
            </w:tblGrid>
            <w:tr>
              <w:trPr/>
              <w:tc>
                <w:tcPr>
                  <w:tcW w:w="8281" w:type="dxa"/>
                  <w:tcBorders/>
                  <w:vAlign w:val="center"/>
                </w:tcPr>
                <w:p>
                  <w:pPr>
                    <w:pStyle w:val="TableContents"/>
                    <w:bidi w:val="0"/>
                    <w:spacing w:before="0" w:after="0"/>
                    <w:jc w:val="left"/>
                    <w:rPr/>
                  </w:pPr>
                  <w:r>
                    <w:rPr/>
                    <w:t>SEQUOIA CAPITAL U.S. SCOUT SEED FUND 2013, L.P. ("SC US SSF 2013")</w:t>
                  </w:r>
                </w:p>
              </w:tc>
            </w:tr>
          </w:tbl>
          <w:p>
            <w:pPr>
              <w:pStyle w:val="TableContents"/>
              <w:bidi w:val="0"/>
              <w:spacing w:before="0" w:after="283"/>
              <w:jc w:val="left"/>
              <w:rPr/>
            </w:pPr>
            <w:r>
              <w:rPr/>
            </w:r>
          </w:p>
        </w:tc>
        <w:tc>
          <w:tcPr>
            <w:tcW w:w="484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578"/>
        <w:gridCol w:w="4627"/>
      </w:tblGrid>
      <w:tr>
        <w:trPr/>
        <w:tc>
          <w:tcPr>
            <w:tcW w:w="5578" w:type="dxa"/>
            <w:tcBorders/>
            <w:vAlign w:val="center"/>
          </w:tcPr>
          <w:p>
            <w:pPr>
              <w:pStyle w:val="TableContents"/>
              <w:bidi w:val="0"/>
              <w:spacing w:before="0" w:after="0"/>
              <w:jc w:val="left"/>
              <w:rPr/>
            </w:pPr>
            <w:r>
              <w:rPr/>
              <w:t> </w:t>
            </w:r>
          </w:p>
          <w:tbl>
            <w:tblPr>
              <w:tblW w:w="8671" w:type="dxa"/>
              <w:jc w:val="left"/>
              <w:tblInd w:w="0" w:type="dxa"/>
              <w:tblLayout w:type="fixed"/>
              <w:tblCellMar>
                <w:top w:w="28" w:type="dxa"/>
                <w:left w:w="28" w:type="dxa"/>
                <w:bottom w:w="28" w:type="dxa"/>
                <w:right w:w="28" w:type="dxa"/>
              </w:tblCellMar>
            </w:tblPr>
            <w:tblGrid>
              <w:gridCol w:w="8671"/>
            </w:tblGrid>
            <w:tr>
              <w:trPr/>
              <w:tc>
                <w:tcPr>
                  <w:tcW w:w="8671" w:type="dxa"/>
                  <w:tcBorders/>
                  <w:vAlign w:val="center"/>
                </w:tcPr>
                <w:p>
                  <w:pPr>
                    <w:pStyle w:val="TableContents"/>
                    <w:bidi w:val="0"/>
                    <w:spacing w:before="0" w:after="0"/>
                    <w:jc w:val="left"/>
                    <w:rPr/>
                  </w:pPr>
                  <w:r>
                    <w:rPr/>
                    <w:t>SC U.S. SCOUT SEED FUND 2013 MANAGEMENT, L.P. ("SC SSF 2013 MGMT")</w:t>
                  </w:r>
                </w:p>
              </w:tc>
            </w:tr>
          </w:tbl>
          <w:p>
            <w:pPr>
              <w:pStyle w:val="TableContents"/>
              <w:bidi w:val="0"/>
              <w:spacing w:before="0" w:after="283"/>
              <w:jc w:val="left"/>
              <w:rPr/>
            </w:pPr>
            <w:r>
              <w:rPr/>
            </w:r>
          </w:p>
        </w:tc>
        <w:tc>
          <w:tcPr>
            <w:tcW w:w="462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196"/>
        <w:gridCol w:w="5009"/>
      </w:tblGrid>
      <w:tr>
        <w:trPr/>
        <w:tc>
          <w:tcPr>
            <w:tcW w:w="5196" w:type="dxa"/>
            <w:tcBorders/>
            <w:vAlign w:val="center"/>
          </w:tcPr>
          <w:p>
            <w:pPr>
              <w:pStyle w:val="TableContents"/>
              <w:bidi w:val="0"/>
              <w:spacing w:before="0" w:after="0"/>
              <w:jc w:val="left"/>
              <w:rPr/>
            </w:pPr>
            <w:r>
              <w:rPr/>
              <w:t> </w:t>
            </w:r>
          </w:p>
          <w:tbl>
            <w:tblPr>
              <w:tblW w:w="6211" w:type="dxa"/>
              <w:jc w:val="left"/>
              <w:tblInd w:w="0" w:type="dxa"/>
              <w:tblLayout w:type="fixed"/>
              <w:tblCellMar>
                <w:top w:w="28" w:type="dxa"/>
                <w:left w:w="28" w:type="dxa"/>
                <w:bottom w:w="28" w:type="dxa"/>
                <w:right w:w="28" w:type="dxa"/>
              </w:tblCellMar>
            </w:tblPr>
            <w:tblGrid>
              <w:gridCol w:w="6211"/>
            </w:tblGrid>
            <w:tr>
              <w:trPr/>
              <w:tc>
                <w:tcPr>
                  <w:tcW w:w="6211" w:type="dxa"/>
                  <w:tcBorders/>
                  <w:vAlign w:val="center"/>
                </w:tcPr>
                <w:p>
                  <w:pPr>
                    <w:pStyle w:val="TableContents"/>
                    <w:bidi w:val="0"/>
                    <w:spacing w:before="0" w:after="0"/>
                    <w:jc w:val="left"/>
                    <w:rPr/>
                  </w:pPr>
                  <w:r>
                    <w:rPr/>
                    <w:t>SC US SSF 2013 (TTGP), L.L.C. ("SC US SSF 2013 TTGP")</w:t>
                  </w:r>
                </w:p>
              </w:tc>
            </w:tr>
          </w:tbl>
          <w:p>
            <w:pPr>
              <w:pStyle w:val="TableContents"/>
              <w:bidi w:val="0"/>
              <w:spacing w:before="0" w:after="283"/>
              <w:jc w:val="left"/>
              <w:rPr/>
            </w:pPr>
            <w:r>
              <w:rPr/>
            </w:r>
          </w:p>
        </w:tc>
        <w:tc>
          <w:tcPr>
            <w:tcW w:w="500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9"/>
        <w:gridCol w:w="4356"/>
      </w:tblGrid>
      <w:tr>
        <w:trPr/>
        <w:tc>
          <w:tcPr>
            <w:tcW w:w="584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Jung Yeon Son</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Jung Yeon Son, Authorized Signatory</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5348</Words>
  <Characters>26547</Characters>
  <CharactersWithSpaces>31644</CharactersWithSpaces>
  <Paragraphs>772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