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GV 2019 GP,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Ethos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tcPr>
          <w:p>
            <w:pPr>
              <w:ind w:left="4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3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tcPr>
          <w:p>
            <w:pPr>
              <w:spacing w:after="0"/>
              <w:rPr>
                <w:sz w:val="14"/>
                <w:szCs w:val="14"/>
                <w:color w:val="auto"/>
              </w:rPr>
            </w:pPr>
          </w:p>
        </w:tc>
        <w:tc>
          <w:tcPr>
            <w:tcW w:w="2420" w:type="dxa"/>
            <w:vAlign w:val="bottom"/>
            <w:tcBorders>
              <w:bottom w:val="single" w:sz="8" w:color="2C2C2C"/>
            </w:tcBorders>
            <w:gridSpan w:val="6"/>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line="20" w:lineRule="exact"/>
              <w:rPr>
                <w:sz w:val="1"/>
                <w:szCs w:val="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10"/>
            <w:vMerge w:val="continue"/>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MOUNTAIN</w:t>
            </w: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VIEW</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1"/>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5"/>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7"/>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51"/>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GV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ind w:right="439"/>
              <w:spacing w:after="0" w:line="213"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(1)</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17"/>
                <w:szCs w:val="17"/>
                <w:color w:val="0000FF"/>
              </w:rPr>
              <w:t>60,077</w:t>
            </w:r>
          </w:p>
        </w:tc>
        <w:tc>
          <w:tcPr>
            <w:tcW w:w="44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3,138,172</w:t>
            </w:r>
          </w:p>
        </w:tc>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jc w:val="center"/>
              <w:ind w:right="419"/>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60,077</w:t>
            </w:r>
          </w:p>
        </w:tc>
        <w:tc>
          <w:tcPr>
            <w:tcW w:w="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5"/>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23.0093</w:t>
            </w:r>
            <w:r>
              <w:rPr>
                <w:rFonts w:ascii="Times New Roman" w:cs="Times New Roman" w:eastAsia="Times New Roman" w:hAnsi="Times New Roman"/>
                <w:sz w:val="22"/>
                <w:szCs w:val="22"/>
                <w:color w:val="008000"/>
                <w:w w:val="97"/>
                <w:vertAlign w:val="superscript"/>
              </w:rPr>
              <w:t>(3)</w:t>
            </w:r>
          </w:p>
        </w:tc>
        <w:tc>
          <w:tcPr>
            <w:tcW w:w="440" w:type="dxa"/>
            <w:vAlign w:val="bottom"/>
          </w:tcPr>
          <w:p>
            <w:pPr>
              <w:spacing w:after="0"/>
              <w:rPr>
                <w:sz w:val="18"/>
                <w:szCs w:val="18"/>
                <w:color w:val="auto"/>
              </w:rPr>
            </w:pPr>
          </w:p>
        </w:tc>
        <w:tc>
          <w:tcPr>
            <w:tcW w:w="76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w w:val="93"/>
              </w:rPr>
              <w:t>0</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Alphabet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GV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05/15/2026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ind w:right="439"/>
              <w:spacing w:after="0" w:line="213"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(1)</w:t>
            </w: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17"/>
                <w:szCs w:val="17"/>
                <w:color w:val="0000FF"/>
              </w:rPr>
              <w:t>87,475</w:t>
            </w:r>
          </w:p>
        </w:tc>
        <w:tc>
          <w:tcPr>
            <w:tcW w:w="440" w:type="dxa"/>
            <w:vAlign w:val="bottom"/>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3,050,697</w:t>
            </w:r>
          </w:p>
        </w:tc>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05/15/2026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jc w:val="center"/>
              <w:ind w:right="419"/>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45,410</w:t>
            </w:r>
          </w:p>
        </w:tc>
        <w:tc>
          <w:tcPr>
            <w:tcW w:w="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5"/>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23.2691</w:t>
            </w:r>
            <w:r>
              <w:rPr>
                <w:rFonts w:ascii="Times New Roman" w:cs="Times New Roman" w:eastAsia="Times New Roman" w:hAnsi="Times New Roman"/>
                <w:sz w:val="22"/>
                <w:szCs w:val="22"/>
                <w:color w:val="008000"/>
                <w:w w:val="97"/>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42,065</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Alphabet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05/15/2026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vMerge w:val="restart"/>
          </w:tcPr>
          <w:p>
            <w:pPr>
              <w:jc w:val="center"/>
              <w:ind w:right="419"/>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42,065</w:t>
            </w:r>
          </w:p>
        </w:tc>
        <w:tc>
          <w:tcPr>
            <w:tcW w:w="4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5"/>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24.2679</w:t>
            </w:r>
            <w:r>
              <w:rPr>
                <w:rFonts w:ascii="Times New Roman" w:cs="Times New Roman" w:eastAsia="Times New Roman" w:hAnsi="Times New Roman"/>
                <w:sz w:val="22"/>
                <w:szCs w:val="22"/>
                <w:color w:val="008000"/>
                <w:w w:val="97"/>
                <w:vertAlign w:val="superscript"/>
              </w:rPr>
              <w:t>(6)</w:t>
            </w:r>
          </w:p>
        </w:tc>
        <w:tc>
          <w:tcPr>
            <w:tcW w:w="440" w:type="dxa"/>
            <w:vAlign w:val="bottom"/>
          </w:tcPr>
          <w:p>
            <w:pPr>
              <w:spacing w:after="0"/>
              <w:rPr>
                <w:sz w:val="18"/>
                <w:szCs w:val="18"/>
                <w:color w:val="auto"/>
              </w:rPr>
            </w:pPr>
          </w:p>
        </w:tc>
        <w:tc>
          <w:tcPr>
            <w:tcW w:w="76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w w:val="93"/>
              </w:rPr>
              <w:t>0</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Alphabet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GV</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571,907</w:t>
            </w:r>
          </w:p>
        </w:tc>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GV 2019 GP,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1600 AMPHITHEATRE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38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GV 2019 GP,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38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GV 2019, L.P.</w:t>
              </w:r>
            </w:hyperlink>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38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GV 2021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38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GV 2021 GP,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38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GV 2021, L.P.</w:t>
              </w:r>
            </w:hyperlink>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MOUNTAIN</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38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25" w:right="1440" w:bottom="0" w:gutter="0" w:footer="0" w:header="0"/>
        </w:sectPr>
      </w:pP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Alphabet Inc.</w:t>
        </w:r>
      </w:hyperlink>
    </w:p>
    <w:p>
      <w:pPr>
        <w:sectPr>
          <w:pgSz w:w="11900" w:h="16838" w:orient="portrait"/>
          <w:cols w:equalWidth="0" w:num="1">
            <w:col w:w="9979"/>
          </w:cols>
          <w:pgMar w:left="480" w:top="125"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AMPHITHEATRE PARKWAY</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MOUNTAIN</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94043</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5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9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12903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represents a pro rata in-kind distribution, for no consideration, by the GV 2019, L.P. ("2019 Partnership") to its partners, which resulted in all of the securities reported in Column 4 of this row being distributed to the direct ownership of the 2019 Partnership's affiliate, Alphabet Holdings LLC ("Alphabet Holdings"). The aforementioned distribution was made in accordance with the exemptions afforded pursuant to Rules 16a-13 and/or 16a-9 promulgated under the Securities Exchange Act of 1934, as amended (the "Exchange Act").</w:t>
      </w:r>
    </w:p>
    <w:p>
      <w:pPr>
        <w:spacing w:after="0" w:line="20" w:lineRule="exact"/>
        <w:rPr>
          <w:rFonts w:ascii="Times New Roman" w:cs="Times New Roman" w:eastAsia="Times New Roman" w:hAnsi="Times New Roman"/>
          <w:sz w:val="13"/>
          <w:szCs w:val="13"/>
          <w:color w:val="008000"/>
        </w:rPr>
      </w:pPr>
    </w:p>
    <w:p>
      <w:pPr>
        <w:jc w:val="both"/>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in this row are directly beneficially owned by the 2019 Partnership. GV 2019 GP, L.P. (the "2019 GP") is the general partner of the 2019 Partnership. GV 2019 GP, L.L.C. ("GV 2019 LLC") is the general partner of the 2019 GP. Alphabet Holdings is the sole member of GV 2019 LLC. XXVI Holdings Inc. ("XXVI") is the sole member of Alphabet Holdings. Alphabet Inc. is the controlling stockholder of XXVI. Each of the 2019 GP, GV 2019 LLC, Alphabet Holdings, XXVI and Alphabet Inc. may be deemed to indirectly beneficially own (as that term is defined in Rule 13d-3 of the Exchange Act) the securities directly beneficially owned by the 2019 Partnership. Each of the 2019 GP, GV 2019 LLC, Alphabet Holdings, XXVI, and Alphabet Inc. disclaims beneficial ownership of such securities except to the extent of its pecuniary interest therein.</w:t>
      </w:r>
    </w:p>
    <w:p>
      <w:pPr>
        <w:spacing w:after="0" w:line="26"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$22.81 to $23.42,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5 and 6 of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in this row were directly beneficially owned by Alphabet Holdings at the time of sale. The sole member of Alphabet Holdings is XXVI. The controlling stockholder of XXVI is Alphabet Inc. Each of XXVI and Alphabet Inc. may be deemed to indirectly beneficially own (as the term is defined in Rule 13d-3 of the Exchange Act) securities directly beneficially owned by Alphabet Holdings. Each of the aforementioned entities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$22.83 to $23.81 per share,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$23.835 to $24.74 per share, inclusive.</w:t>
      </w:r>
    </w:p>
    <w:p>
      <w:pPr>
        <w:spacing w:after="0" w:line="50"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in this row are directly beneficially owned by GV 2021, L.P. (the "2021 Partnership"). GV 2021 GP, L.P. (the "2021 GP") is the general partner of the 2021 Partnership. GV 2021 GP, L.L.C. ("GV 2021 LLC") is the general partner of the 2021 GP. Alphabet Holdings is the sole member of GV 2021 LLC. XXVI is the sole member of Alphabet Holdings. Alphabet Inc. is the controlling stockholder of XXVI. Each of the 2021 GP, GV 2021 LLC, Alphabet Holdings, XXVI and Alphabet Inc. may be deemed to indirectly beneficially own (as that term is defined in Rule 13d-3 of the Exchange Act) the securities directly beneficially owned by the 2021 Partnership. Each of the 2021 GP, GV 2021 LLC, Alphabet Holdings, XXVI, and Alphabet Inc. disclaims beneficial ownership of such securities except to the extent of its pecuniary interest therein.</w:t>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Kim Burr,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1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Signatory of GV 2019 GP,</w:t>
      </w:r>
      <w:r>
        <w:rPr>
          <w:sz w:val="20"/>
          <w:szCs w:val="20"/>
          <w:color w:val="auto"/>
        </w:rPr>
        <w:tab/>
      </w: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Kim Burr,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1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Signatory of GV 2019 GP,</w:t>
      </w:r>
      <w:r>
        <w:rPr>
          <w:sz w:val="20"/>
          <w:szCs w:val="20"/>
          <w:color w:val="auto"/>
        </w:rPr>
        <w:tab/>
      </w: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ectPr>
          <w:pgSz w:w="11900" w:h="16838" w:orient="portrait"/>
          <w:cols w:equalWidth="0" w:num="1">
            <w:col w:w="10880"/>
          </w:cols>
          <w:pgMar w:left="500" w:top="167" w:right="51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Kim Burr,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1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of GV 2019,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Kim Burr,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1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of GV 2021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Kim Burr,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1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of GV 2021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460" w:space="280"/>
            <w:col w:w="2140"/>
          </w:cols>
          <w:pgMar w:left="500" w:top="167" w:right="519" w:bottom="144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/s/ Kim Burr,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1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of GV 2021,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Kathryn W. Hall,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57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Secretary of Alphabet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40"/>
          </w:cols>
          <w:pgMar w:left="500" w:top="16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13" Type="http://schemas.openxmlformats.org/officeDocument/2006/relationships/hyperlink" Target="http://www.sec.gov/cgi-bin/browse-edgar?action=getcompany&amp;CIK=0001845038" TargetMode="External"/><Relationship Id="rId14" Type="http://schemas.openxmlformats.org/officeDocument/2006/relationships/hyperlink" Target="http://www.sec.gov/cgi-bin/browse-edgar?action=getcompany&amp;CIK=0001788451" TargetMode="External"/><Relationship Id="rId17" Type="http://schemas.openxmlformats.org/officeDocument/2006/relationships/hyperlink" Target="http://www.sec.gov/cgi-bin/browse-edgar?action=getcompany&amp;CIK=0001845039" TargetMode="External"/><Relationship Id="rId18" Type="http://schemas.openxmlformats.org/officeDocument/2006/relationships/hyperlink" Target="http://www.sec.gov/cgi-bin/browse-edgar?action=getcompany&amp;CIK=0001845041" TargetMode="External"/><Relationship Id="rId19" Type="http://schemas.openxmlformats.org/officeDocument/2006/relationships/hyperlink" Target="http://www.sec.gov/cgi-bin/browse-edgar?action=getcompany&amp;CIK=0001861206" TargetMode="External"/><Relationship Id="rId20" Type="http://schemas.openxmlformats.org/officeDocument/2006/relationships/hyperlink" Target="http://www.sec.gov/cgi-bin/browse-edgar?action=getcompany&amp;CIK=0001861216" TargetMode="External"/><Relationship Id="rId21" Type="http://schemas.openxmlformats.org/officeDocument/2006/relationships/hyperlink" Target="http://www.sec.gov/cgi-bin/browse-edgar?action=getcompany&amp;CIK=0001861202" TargetMode="External"/><Relationship Id="rId22" Type="http://schemas.openxmlformats.org/officeDocument/2006/relationships/hyperlink" Target="http://www.sec.gov/cgi-bin/browse-edgar?action=getcompany&amp;CIK=000165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2026-05-18T17:44:25Z</dcterms:created>
  <dcterms:modified xsi:type="dcterms:W3CDTF">2026-05-18T17:44:25Z</dcterms:modified>
</cp:coreProperties>
</file>