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Ethos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Lingke Wang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4,414,749.00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2,137,993.00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4,059,162.00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2,202,036.00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6,552,742.00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69"/>
        <w:gridCol w:w="8881"/>
        <w:gridCol w:w="155"/>
      </w:tblGrid>
      <w:tr>
        <w:trPr/>
        <w:tc>
          <w:tcPr>
            <w:tcW w:w="1169" w:type="dxa"/>
            <w:tcBorders/>
            <w:vAlign w:val="center"/>
          </w:tcPr>
          <w:p>
            <w:pPr>
              <w:pStyle w:val="TableContents"/>
              <w:bidi w:val="0"/>
              <w:spacing w:before="0" w:after="283"/>
              <w:jc w:val="left"/>
              <w:rPr/>
            </w:pPr>
            <w:r>
              <w:rPr/>
              <w:t>Item 1.</w:t>
            </w:r>
          </w:p>
        </w:tc>
        <w:tc>
          <w:tcPr>
            <w:tcW w:w="88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Name of issuer: </w:t>
            </w:r>
          </w:p>
          <w:p>
            <w:pPr>
              <w:pStyle w:val="TableContents"/>
              <w:bidi w:val="0"/>
              <w:spacing w:before="0" w:after="0"/>
              <w:jc w:val="left"/>
              <w:rPr/>
            </w:pPr>
            <w:r>
              <w:rPr/>
              <w:t>Ethos Technologies Inc.</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 New Montgomery Street, Suite 1500, San Francisco, CA, 94105.</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2.</w:t>
            </w:r>
          </w:p>
        </w:tc>
        <w:tc>
          <w:tcPr>
            <w:tcW w:w="88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Lingke Wang</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Ethos Technologies Inc. 90 New Montgomery Street, Suite 1500 San Francisco, CA 94105</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(d)</w:t>
            </w:r>
          </w:p>
        </w:tc>
        <w:tc>
          <w:tcPr>
            <w:tcW w:w="88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(e)</w:t>
            </w:r>
          </w:p>
        </w:tc>
        <w:tc>
          <w:tcPr>
            <w:tcW w:w="88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3.</w:t>
            </w:r>
          </w:p>
        </w:tc>
        <w:tc>
          <w:tcPr>
            <w:tcW w:w="88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(d)</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(e)</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(f)</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(g)</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(h)</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(j)</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(k)</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9036" w:type="dxa"/>
            <w:gridSpan w:val="2"/>
            <w:tcBorders/>
            <w:vAlign w:val="center"/>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4.</w:t>
            </w:r>
          </w:p>
        </w:tc>
        <w:tc>
          <w:tcPr>
            <w:tcW w:w="88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As of March 31, 2026, the Reporting Person may be deemed to beneficially own an aggregate of 6,552,742 shares of the Issuer's Class A Common Stock consisting of (i) 3,943,279 shares of Class A Common Stock issuable upon conversion of 3,943,279 shares of Class B Common Stock; (ii) 115,883 shares of Class A Common Stock issuable upon the settlement of restricted stock units scheduled to vest within 60 days of March 31, 2026; (iii) 64,043 shares of Class A Common Stock issuable upon conversion of 64,043 shares of Class B Common Stock directly held by the Reporting Person's spouse; (iv) 145,772 shares of Class A Common Stock issuable upon conversion of 145,772 shares of Class B Common Stock directly held by the Reporting Person's mother; (v) 145,772 shares of Class A Common Stock issuable upon conversion of 145,772 shares of Class B Common Stock directly held by the Reporting Person's father; (vi) 388,726 shares of Class A Common Stock issuable upon conversion of 388,726 shares of Class B Common Stock held directly by The B 2024 Trust; (vii) 291,545 shares of Class A Common Stock issuable upon conversion of 291,545 shares of Class B Common Stock directly held by The J 2024 Trust; (viii) 291,545 shares of Class A Common Stock issuable upon conversion of 291,545 shares of Class B Common Stock directly held by The K 2024 Trust; (ix) 291,545 shares of Class A Common Stock issuable upon conversion of 291,545 shares of Class B Common Stock directly held by The L 2024 Trust; (x) 291,544 shares of Class A Common Stock issuable upon conversion of 291,545 shares of Class B Common Stock directly held by The D 2024 Trust; (xi) 291,544 shares of Class A Common Stock issuable upon conversion of 291,545 shares of Class B Common Stock directly held by The W 2024 Trust; and (xii) 291,544 shares of Class A Common Stock issuable upon conversion of 291,545 shares of Class B Common Stock directly held by The X 2024 Trust. Each share of Class B Common Stock is convertible into one share of Class A Common Stock. The Reporting Person holds revocable voting proxies over the shares held of record by his spouse, mother and father and, as a result, may be deemed to have sole voting power over such shares. The Reporting Person may be deemed to have shared dispositive power over the shares held by his spouse. The Reporting Person's father serves as the trustee of each of The B 2024 Trust, The J 2024 Trust, The K 2024 Trust, and The L 2024 Trust and the Reporting Person's spouse serves as trustee of each of The D 2024 Trust, The W 2024 Trust, and The X 2024 Trust. By virtue of his relationship with the trustees of these trusts, the Reporting Person may be deemed to share voting and dispositive power over the shares held by such trusts. The Reporting Person disclaims beneficial ownership of the shares reported herein other than with respect to shares held directly by the Reporting Person and shares over which he holds revocable proxies, and the inclusion of such shares in this report should not be deemed an admission that he is the beneficial owner of such shares for purposes of Section 13 of the Exchange Act or any other purpose.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March 31, 2026, the Reporting Person may be deemed the beneficial owner of 17.5% of the Issuer's Class A Common Stock. Such percentage is based upon 30,915,000 shares of common stock outstanding as of March 31, 2026, as reported in the Issuer's Quarterly Report on Form 10-Q filed with the Securities and Exchange Commission (the "SEC") on May 8, 2026, adjusted in accordance with rules of the SEC, to give effect to the full conversion of Class B common stock beneficially owned by the Reporting Person and giving effect to the shares of Class A Common Stock issuable upon the settlement of restricted stock units as referenced herein.  %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4,414,749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2,137,993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4,059,162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2,202,036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5.</w:t>
            </w:r>
          </w:p>
        </w:tc>
        <w:tc>
          <w:tcPr>
            <w:tcW w:w="88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6.</w:t>
            </w:r>
          </w:p>
        </w:tc>
        <w:tc>
          <w:tcPr>
            <w:tcW w:w="88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7.</w:t>
            </w:r>
          </w:p>
        </w:tc>
        <w:tc>
          <w:tcPr>
            <w:tcW w:w="88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8.</w:t>
            </w:r>
          </w:p>
        </w:tc>
        <w:tc>
          <w:tcPr>
            <w:tcW w:w="88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9.</w:t>
            </w:r>
          </w:p>
        </w:tc>
        <w:tc>
          <w:tcPr>
            <w:tcW w:w="88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Lingke Wang</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4"/>
        <w:gridCol w:w="4451"/>
      </w:tblGrid>
      <w:tr>
        <w:trPr/>
        <w:tc>
          <w:tcPr>
            <w:tcW w:w="57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Lingke Wang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Lingke Wang</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1306</Words>
  <Characters>6512</Characters>
  <CharactersWithSpaces>7813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