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7970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970520"/>
                    </a:xfrm>
                    <a:prstGeom prst="rect">
                      <a:avLst/>
                    </a:prstGeom>
                    <a:noFill/>
                  </pic:spPr>
                </pic:pic>
              </a:graphicData>
            </a:graphic>
          </wp:anchor>
        </w:drawing>
      </w:r>
    </w:p>
    <w:p>
      <w:pPr>
        <w:spacing w:after="0" w:line="1231" w:lineRule="exact"/>
        <w:rPr>
          <w:sz w:val="24"/>
          <w:szCs w:val="24"/>
          <w:color w:val="auto"/>
        </w:rPr>
      </w:pPr>
    </w:p>
    <w:p>
      <w:pPr>
        <w:sectPr>
          <w:pgSz w:w="11900" w:h="16843"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Wang Lingke</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ETHOS TECHNOLOGIES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1606 HEADWAY CIRCLE #9013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Ethos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LIFE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262"/>
        <w:spacing w:after="0"/>
        <w:rPr>
          <w:sz w:val="20"/>
          <w:szCs w:val="20"/>
          <w:color w:val="auto"/>
        </w:rPr>
      </w:pPr>
      <w:r>
        <w:rPr>
          <w:rFonts w:ascii="Times New Roman" w:cs="Times New Roman" w:eastAsia="Times New Roman" w:hAnsi="Times New Roman"/>
          <w:sz w:val="17"/>
          <w:szCs w:val="17"/>
          <w:color w:val="0000FF"/>
        </w:rPr>
        <w:t>President</w:t>
      </w:r>
    </w:p>
    <w:p>
      <w:pPr>
        <w:spacing w:after="0" w:line="405" w:lineRule="exact"/>
        <w:rPr>
          <w:sz w:val="24"/>
          <w:szCs w:val="24"/>
          <w:color w:val="auto"/>
        </w:rPr>
      </w:pPr>
    </w:p>
    <w:p>
      <w:pPr>
        <w:sectPr>
          <w:pgSz w:w="11900" w:h="16843" w:orient="portrait"/>
          <w:cols w:equalWidth="0" w:num="3">
            <w:col w:w="3180" w:space="720"/>
            <w:col w:w="3118" w:space="720"/>
            <w:col w:w="3342"/>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78754</w:t>
            </w:r>
          </w:p>
        </w:tc>
      </w:tr>
      <w:tr>
        <w:trPr>
          <w:trHeight w:val="148"/>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43"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140" w:type="dxa"/>
            <w:vAlign w:val="bottom"/>
          </w:tcPr>
          <w:p>
            <w:pPr>
              <w:spacing w:after="0"/>
              <w:rPr>
                <w:sz w:val="11"/>
                <w:szCs w:val="11"/>
                <w:color w:val="auto"/>
              </w:rPr>
            </w:pPr>
          </w:p>
        </w:tc>
        <w:tc>
          <w:tcPr>
            <w:tcW w:w="60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0"/>
              </w:rPr>
              <w:t>Securities</w:t>
            </w:r>
          </w:p>
        </w:tc>
        <w:tc>
          <w:tcPr>
            <w:tcW w:w="60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39,495</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21.99</w:t>
            </w:r>
            <w:r>
              <w:rPr>
                <w:rFonts w:ascii="Times New Roman" w:cs="Times New Roman" w:eastAsia="Times New Roman" w:hAnsi="Times New Roman"/>
                <w:sz w:val="21"/>
                <w:szCs w:val="21"/>
                <w:color w:val="008000"/>
                <w:w w:val="9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771,690</w:t>
            </w:r>
            <w:r>
              <w:rPr>
                <w:rFonts w:ascii="Times New Roman" w:cs="Times New Roman" w:eastAsia="Times New Roman" w:hAnsi="Times New Roman"/>
                <w:sz w:val="21"/>
                <w:szCs w:val="21"/>
                <w:color w:val="008000"/>
                <w:w w:val="92"/>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6,854</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22.77</w:t>
            </w:r>
            <w:r>
              <w:rPr>
                <w:rFonts w:ascii="Times New Roman" w:cs="Times New Roman" w:eastAsia="Times New Roman" w:hAnsi="Times New Roman"/>
                <w:sz w:val="21"/>
                <w:szCs w:val="21"/>
                <w:color w:val="008000"/>
                <w:w w:val="9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764,836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5"/>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(5)</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69,534</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695,302</w:t>
            </w:r>
            <w:r>
              <w:rPr>
                <w:rFonts w:ascii="Times New Roman" w:cs="Times New Roman" w:eastAsia="Times New Roman" w:hAnsi="Times New Roman"/>
                <w:sz w:val="21"/>
                <w:szCs w:val="21"/>
                <w:color w:val="008000"/>
                <w:w w:val="92"/>
                <w:vertAlign w:val="superscript"/>
              </w:rPr>
              <w:t>(6)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Code (Instr.</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69,534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3"/>
              </w:rPr>
              <w:t>4,012,813</w:t>
            </w:r>
            <w:r>
              <w:rPr>
                <w:rFonts w:ascii="Times New Roman" w:cs="Times New Roman" w:eastAsia="Times New Roman" w:hAnsi="Times New Roman"/>
                <w:sz w:val="21"/>
                <w:szCs w:val="21"/>
                <w:color w:val="008000"/>
                <w:w w:val="93"/>
                <w:vertAlign w:val="superscript"/>
              </w:rPr>
              <w:t>(3)</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7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6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69,534</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64,043</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59"/>
              <w:spacing w:after="0" w:line="141" w:lineRule="exact"/>
              <w:rPr>
                <w:sz w:val="20"/>
                <w:szCs w:val="20"/>
                <w:color w:val="auto"/>
              </w:rPr>
            </w:pPr>
            <w:r>
              <w:rPr>
                <w:rFonts w:ascii="Times New Roman" w:cs="Times New Roman" w:eastAsia="Times New Roman" w:hAnsi="Times New Roman"/>
                <w:sz w:val="13"/>
                <w:szCs w:val="13"/>
                <w:color w:val="0000FF"/>
                <w:w w:val="94"/>
              </w:rPr>
              <w:t>64,043</w:t>
            </w:r>
          </w:p>
        </w:tc>
        <w:tc>
          <w:tcPr>
            <w:tcW w:w="260" w:type="dxa"/>
            <w:vAlign w:val="bottom"/>
          </w:tcPr>
          <w:p>
            <w:pPr>
              <w:spacing w:after="0"/>
              <w:rPr>
                <w:sz w:val="12"/>
                <w:szCs w:val="12"/>
                <w:color w:val="auto"/>
              </w:rPr>
            </w:pP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7"/>
              </w:rPr>
              <w:t>388,726</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388,726</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7"/>
              </w:rPr>
              <w:t>291,545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291,545</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7"/>
              </w:rPr>
              <w:t>291,545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(10)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291,545</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7"/>
              </w:rPr>
              <w:t>291,545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(11)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291,545</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7"/>
              </w:rPr>
              <w:t>291,544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291,544</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7"/>
              </w:rPr>
              <w:t>291,544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(13)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291,544</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7"/>
              </w:rPr>
              <w:t>291,544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291,544</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-4712335</wp:posOffset>
            </wp:positionV>
            <wp:extent cx="29210" cy="471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4717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tax withholding obligations on the vesting of restricted stock units ("RSUs").</w:t>
      </w:r>
    </w:p>
    <w:p>
      <w:pPr>
        <w:spacing w:after="0" w:line="42" w:lineRule="exact"/>
        <w:rPr>
          <w:rFonts w:ascii="Times New Roman" w:cs="Times New Roman" w:eastAsia="Times New Roman" w:hAnsi="Times New Roman"/>
          <w:sz w:val="13"/>
          <w:szCs w:val="13"/>
          <w:color w:val="008000"/>
        </w:rPr>
      </w:pPr>
    </w:p>
    <w:p>
      <w:pPr>
        <w:ind w:left="40" w:right="1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$21.66 to $22.64 per share, inclusive. Upon request from the SEC staff, the Issuer, or a security holder of the Issuer, the Reporting Person will provide full information regarding the number of shares sold at each separate price within the range set forth in this Form 4.</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due to scrivener's error.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$22.695 to $22.88 per share, inclusive. Upon request from the SEC staff, the Issuer, or a security</w:t>
      </w:r>
    </w:p>
    <w:p>
      <w:pPr>
        <w:sectPr>
          <w:pgSz w:w="11900" w:h="16843"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holder of the Issuer, the Reporting Person will provide full information regarding the number of shares sold at each separate price within the range set forth in this Form 4.</w:t>
      </w:r>
    </w:p>
    <w:p>
      <w:pPr>
        <w:spacing w:after="0" w:line="43" w:lineRule="exact"/>
        <w:rPr>
          <w:sz w:val="20"/>
          <w:szCs w:val="20"/>
          <w:color w:val="auto"/>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A Common Stock was exchanged at a 1:1 ratio for shares of Class B Common Stock.</w:t>
      </w:r>
    </w:p>
    <w:p>
      <w:pPr>
        <w:spacing w:after="0" w:line="42"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695,302 shares issuable on settlement of RSUs, each of which represents a contingent right to receive one share of Issuer's Class A Common Stock upon vesting and may be exchanged at a 1:1 ratio for shares of Class B Common Stock.</w:t>
      </w:r>
    </w:p>
    <w:p>
      <w:pPr>
        <w:spacing w:after="0" w:line="19" w:lineRule="exact"/>
        <w:rPr>
          <w:rFonts w:ascii="Times New Roman" w:cs="Times New Roman" w:eastAsia="Times New Roman" w:hAnsi="Times New Roman"/>
          <w:sz w:val="13"/>
          <w:szCs w:val="13"/>
          <w:color w:val="008000"/>
        </w:rPr>
      </w:pPr>
    </w:p>
    <w:p>
      <w:pPr>
        <w:ind w:right="160" w:firstLine="1"/>
        <w:spacing w:after="0" w:line="239"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is convertible at any time at the option of the Reporting Person into one share of Class A Common Stock. The Class B Common Stock has no expiration.</w:t>
      </w:r>
    </w:p>
    <w:p>
      <w:pPr>
        <w:spacing w:after="0" w:line="2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B 2024 Trust. Mr. Wang disclaims beneficial ownership of the shares held by the trust except to the extent of his pecuniary interest therein.</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 2024 Trust. Mr. Wang disclaims beneficial ownership of the shares held by the trust except to the extent of his pecuniary interest therein.</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K 2024 Trust. Mr. Wang disclaims beneficial ownership of the shares held by the trust except to the extent of his pecuniary interest therein.</w:t>
      </w:r>
    </w:p>
    <w:p>
      <w:pPr>
        <w:spacing w:after="0" w:line="42" w:lineRule="exact"/>
        <w:rPr>
          <w:rFonts w:ascii="Times New Roman" w:cs="Times New Roman" w:eastAsia="Times New Roman" w:hAnsi="Times New Roman"/>
          <w:sz w:val="13"/>
          <w:szCs w:val="13"/>
          <w:color w:val="008000"/>
        </w:rPr>
      </w:pPr>
    </w:p>
    <w:p>
      <w:pPr>
        <w:ind w:left="180" w:hanging="179"/>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L 2024 Trust. Mr. Wang disclaims beneficial ownership of the shares held by the trust except to the extent of his pecuniary interest therein.</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 2024 Trust. Mr. Wang disclaims beneficial ownership of the shares held by the trust except to the extent of his pecuniary interest therein.</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W 2024 Trust. Mr. Wang disclaims beneficial ownership of the shares held by the trust except to the extent of his pecuniary interest therein.</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X 2024 Trust. Mr. Wang disclaims beneficial ownership of the shares held by the trust except to the extent of his pecuniary interest therein.</w:t>
      </w:r>
    </w:p>
    <w:p>
      <w:pPr>
        <w:spacing w:after="0" w:line="5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Porter Nolan, Attorney-in-</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05/19/2026</w:t>
            </w:r>
          </w:p>
        </w:tc>
        <w:tc>
          <w:tcPr>
            <w:tcW w:w="0" w:type="dxa"/>
            <w:vAlign w:val="bottom"/>
          </w:tcPr>
          <w:p>
            <w:pPr>
              <w:spacing w:after="0"/>
              <w:rPr>
                <w:sz w:val="1"/>
                <w:szCs w:val="1"/>
                <w:color w:val="auto"/>
              </w:rPr>
            </w:pPr>
          </w:p>
        </w:tc>
      </w:tr>
      <w:tr>
        <w:trPr>
          <w:trHeight w:val="82"/>
        </w:trPr>
        <w:tc>
          <w:tcPr>
            <w:tcW w:w="196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9263" TargetMode="External"/><Relationship Id="rId14" Type="http://schemas.openxmlformats.org/officeDocument/2006/relationships/hyperlink" Target="http://www.sec.gov/cgi-bin/browse-edgar?action=getcompany&amp;CIK=0001788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2026-05-19T19:36:15Z</dcterms:created>
  <dcterms:modified xsi:type="dcterms:W3CDTF">2026-05-19T19:36:15Z</dcterms:modified>
</cp:coreProperties>
</file>