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102026_050703.xml.htm"/>
      <w:bookmarkStart w:id="1" w:name="ksform407102026_05070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Wang Lingke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ETHOS TECHNOLOGIES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1606 HEADWAY CIRCLE #9013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Ethos Technologies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LIFE</w:t>
            </w:r>
            <w:r>
              <w:rPr/>
              <w:t xml:space="preserve"> ] 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  <w:r>
              <w:rPr/>
              <w:t xml:space="preserve"> 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1"/>
        <w:gridCol w:w="904"/>
        <w:gridCol w:w="774"/>
        <w:gridCol w:w="600"/>
        <w:gridCol w:w="346"/>
        <w:gridCol w:w="1055"/>
        <w:gridCol w:w="446"/>
        <w:gridCol w:w="609"/>
        <w:gridCol w:w="1270"/>
        <w:gridCol w:w="988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1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2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1,595,302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restricted stock unit ("RSU") award. The RSUs will vest as to 55% on February 15, 2027, 6.25% on each of May 15, 2027, August 15, 2027, November 15, 2027, and February 15, 2028, and 2.5% on each subsequent May 15, August 15, November 15 and February 15 thereafter, subject to the Reporting Person's continuous service through each such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Charlie York,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89263" TargetMode="External"/><Relationship Id="rId5" Type="http://schemas.openxmlformats.org/officeDocument/2006/relationships/hyperlink" Target="http://www.sec.gov/cgi-bin/browse-edgar?action=getcompany&amp;CIK=000178845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626</Words>
  <Characters>3375</Characters>
  <CharactersWithSpaces>3942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