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02026_050701.xml.htm"/>
      <w:bookmarkStart w:id="1" w:name="ksform407102026_05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Colis Peter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ETHOS TECHNOLOGIES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 HEADWAY CIRCLE #9013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Ethos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LIFE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Secretary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1055"/>
        <w:gridCol w:w="446"/>
        <w:gridCol w:w="609"/>
        <w:gridCol w:w="127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1,595,302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award. The RSUs will vest as to 55% on February 15, 2027, 6.25% on each of May 15, 2027, August 15, 2027, November 15, 2027, and February 15, 2028, and 2.5% on each subsequent May 15, August 15, November 15 and February 15 thereafter, subject to the Reporting Person's continuous service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Charlie York,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9362" TargetMode="External"/><Relationship Id="rId5" Type="http://schemas.openxmlformats.org/officeDocument/2006/relationships/hyperlink" Target="http://www.sec.gov/cgi-bin/browse-edgar?action=getcompany&amp;CIK=00017884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3387</Characters>
  <CharactersWithSpaces>3957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