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4330d8k.htm"/>
      <w:bookmarkStart w:id="1" w:name="ksd2433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16,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Ethos Technologies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001-43065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81-3181024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90 New Montgomery Street, Suite 1500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94105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415 915-0665</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845" w:type="dxa"/>
        <w:jc w:val="left"/>
        <w:tblInd w:w="0" w:type="dxa"/>
        <w:tblLayout w:type="fixed"/>
        <w:tblCellMar>
          <w:top w:w="0" w:type="dxa"/>
          <w:left w:w="0" w:type="dxa"/>
          <w:bottom w:w="0" w:type="dxa"/>
          <w:right w:w="0" w:type="dxa"/>
        </w:tblCellMar>
      </w:tblPr>
      <w:tblGrid>
        <w:gridCol w:w="4160"/>
        <w:gridCol w:w="60"/>
        <w:gridCol w:w="740"/>
        <w:gridCol w:w="60"/>
        <w:gridCol w:w="2825"/>
      </w:tblGrid>
      <w:tr>
        <w:trPr/>
        <w:tc>
          <w:tcPr>
            <w:tcW w:w="4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60" w:type="dxa"/>
            <w:tcBorders/>
            <w:vAlign w:val="center"/>
          </w:tcPr>
          <w:p>
            <w:pPr>
              <w:pStyle w:val="TableContents"/>
              <w:bidi w:val="0"/>
              <w:spacing w:before="0" w:after="283"/>
              <w:jc w:val="center"/>
              <w:rPr/>
            </w:pPr>
            <w:r>
              <w:rPr/>
              <w:t>Class A Common Stock, $0.0001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LIFE</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September 16, 2026, Ethos Technologies Inc. (the “Company” or “Ethos”) addressed recent commentary concerning a service disruption affecting systems operated by its carrier partner, TruStage Financial Group, Inc. (“TruStage”) that occurred in July 2026. </w:t>
      </w:r>
    </w:p>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75"/>
        <w:gridCol w:w="110"/>
        <w:gridCol w:w="60"/>
        <w:gridCol w:w="9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Ethos systems were penetrated, and no data was exfiltrated from the Company’s systems due to the TruStage incident.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does not expect any material impact from the TruStage incident on its Q3 2026 financials. Any impact of the incident was factored into the Company’s Q3 2026 financial guidance issued on August 3,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Since the service disruption, the Company has not observed any incremental lapse rates compared to pre-incident levels for TruStage policies in the July billing cycle.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Company does not believe there are any material ongoing negative impacts to its business, financial condition or results of operations as a result of the TruStage service disruption.</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The information set forth under Item 7.01 of this Current Report on Form 8-K contains express and implied “forward-looking statements” within the meaning of the Private Securities Litigation Reform Act of 1995, including, but not limited to, statements regarding the impact of the incident described herein, and the Company’s expectations, plans and prospects and any other statements that are not historical facts. In some cases, you can identify forward-looking statements by terms such as “anticipate,” “believe,” “estimate,” “expect,” “intend,” “may,” “plan,” “project,” “will,” or similar expressions. These forward-looking statements are based on current expectations and involve risks and uncertainties that could cause actual results to differ materially, including risks described in the “Risk Factors” section of Ethos’ Quarterly Report on Form 10-Q for the fiscal quarter ended June 30, 2026 filed with the Securities and Exchange Commission (“SEC”) on August 5, 2026 and in other reports Ethos files from time to time with the SEC. Except as required by law, Ethos undertakes no obligation, and does not intend, to update these forward-looking statements.</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137" w:type="dxa"/>
        <w:jc w:val="left"/>
        <w:tblInd w:w="0" w:type="dxa"/>
        <w:tblLayout w:type="fixed"/>
        <w:tblCellMar>
          <w:top w:w="0" w:type="dxa"/>
          <w:left w:w="0" w:type="dxa"/>
          <w:bottom w:w="0" w:type="dxa"/>
          <w:right w:w="0" w:type="dxa"/>
        </w:tblCellMar>
      </w:tblPr>
      <w:tblGrid>
        <w:gridCol w:w="822"/>
        <w:gridCol w:w="1301"/>
        <w:gridCol w:w="506"/>
        <w:gridCol w:w="60"/>
        <w:gridCol w:w="375"/>
        <w:gridCol w:w="61"/>
        <w:gridCol w:w="2012"/>
      </w:tblGrid>
      <w:tr>
        <w:trPr/>
        <w:tc>
          <w:tcPr>
            <w:tcW w:w="82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48" w:type="dxa"/>
            <w:gridSpan w:val="3"/>
            <w:tcBorders/>
            <w:vAlign w:val="center"/>
          </w:tcPr>
          <w:p>
            <w:pPr>
              <w:pStyle w:val="TableContents"/>
              <w:bidi w:val="0"/>
              <w:spacing w:before="0" w:after="283"/>
              <w:jc w:val="left"/>
              <w:rPr>
                <w:b/>
              </w:rPr>
            </w:pPr>
            <w:r>
              <w:rPr>
                <w:b/>
              </w:rPr>
              <w:t>Ethos Technologies Inc.</w:t>
            </w:r>
          </w:p>
        </w:tc>
      </w:tr>
      <w:tr>
        <w:trPr/>
        <w:tc>
          <w:tcPr>
            <w:tcW w:w="2629" w:type="dxa"/>
            <w:gridSpan w:val="3"/>
            <w:tcBorders/>
            <w:vAlign w:val="center"/>
          </w:tcPr>
          <w:p>
            <w:pPr>
              <w:pStyle w:val="TableContents"/>
              <w:bidi w:val="0"/>
              <w:spacing w:before="0" w:after="283"/>
              <w:jc w:val="left"/>
              <w:rPr/>
            </w:pPr>
            <w:r>
              <w:rPr/>
              <w:t>Dated: September 16, 2026</w:t>
            </w:r>
          </w:p>
        </w:tc>
        <w:tc>
          <w:tcPr>
            <w:tcW w:w="60" w:type="dxa"/>
            <w:tcBorders/>
            <w:vAlign w:val="center"/>
          </w:tcPr>
          <w:p>
            <w:pPr>
              <w:pStyle w:val="TableContents"/>
              <w:bidi w:val="0"/>
              <w:spacing w:before="0" w:after="283"/>
              <w:jc w:val="left"/>
              <w:rPr/>
            </w:pPr>
            <w:r>
              <w:rPr/>
              <w:t> </w:t>
            </w:r>
          </w:p>
        </w:tc>
        <w:tc>
          <w:tcPr>
            <w:tcW w:w="2448" w:type="dxa"/>
            <w:gridSpan w:val="3"/>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sz w:val="4"/>
                <w:szCs w:val="4"/>
              </w:rPr>
            </w:pPr>
            <w:r>
              <w:rPr>
                <w:sz w:val="4"/>
                <w:szCs w:val="4"/>
              </w:rPr>
            </w:r>
          </w:p>
        </w:tc>
        <w:tc>
          <w:tcPr>
            <w:tcW w:w="1807" w:type="dxa"/>
            <w:gridSpan w:val="2"/>
            <w:tcBorders/>
            <w:vAlign w:val="center"/>
          </w:tcPr>
          <w:p>
            <w:pPr>
              <w:pStyle w:val="TableContents"/>
              <w:bidi w:val="0"/>
              <w:spacing w:before="0" w:after="283"/>
              <w:jc w:val="left"/>
              <w:rPr>
                <w:sz w:val="4"/>
                <w:szCs w:val="4"/>
              </w:rPr>
            </w:pPr>
            <w:r>
              <w:rPr>
                <w:sz w:val="4"/>
                <w:szCs w:val="4"/>
              </w:rPr>
            </w:r>
          </w:p>
        </w:tc>
        <w:tc>
          <w:tcPr>
            <w:tcW w:w="435" w:type="dxa"/>
            <w:gridSpan w:val="2"/>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By:</w:t>
            </w:r>
          </w:p>
        </w:tc>
        <w:tc>
          <w:tcPr>
            <w:tcW w:w="61" w:type="dxa"/>
            <w:tcBorders/>
            <w:vAlign w:val="center"/>
          </w:tcPr>
          <w:p>
            <w:pPr>
              <w:pStyle w:val="TableContents"/>
              <w:bidi w:val="0"/>
              <w:spacing w:before="0" w:after="283"/>
              <w:jc w:val="left"/>
              <w:rPr/>
            </w:pPr>
            <w:r>
              <w:rPr/>
              <w:t> </w:t>
            </w:r>
          </w:p>
        </w:tc>
        <w:tc>
          <w:tcPr>
            <w:tcW w:w="201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Colis</w:t>
            </w:r>
          </w:p>
        </w:tc>
      </w:tr>
      <w:tr>
        <w:trPr/>
        <w:tc>
          <w:tcPr>
            <w:tcW w:w="82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Peter Colis</w:t>
            </w:r>
          </w:p>
        </w:tc>
      </w:tr>
      <w:tr>
        <w:trPr/>
        <w:tc>
          <w:tcPr>
            <w:tcW w:w="82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684</Words>
  <Characters>3820</Characters>
  <CharactersWithSpaces>4501</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