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872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87248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Colis Peter George</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ETHOS TECHNOLOGIES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1606 HEADWAY CIRCLE #9013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Ethos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LIFE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942"/>
        <w:spacing w:after="0"/>
        <w:rPr>
          <w:sz w:val="20"/>
          <w:szCs w:val="20"/>
          <w:color w:val="auto"/>
        </w:rPr>
      </w:pPr>
      <w:r>
        <w:rPr>
          <w:rFonts w:ascii="Times New Roman" w:cs="Times New Roman" w:eastAsia="Times New Roman" w:hAnsi="Times New Roman"/>
          <w:sz w:val="17"/>
          <w:szCs w:val="17"/>
          <w:color w:val="0000FF"/>
        </w:rPr>
        <w:t>CEO and Secretary</w:t>
      </w:r>
    </w:p>
    <w:p>
      <w:pPr>
        <w:spacing w:after="0" w:line="405" w:lineRule="exact"/>
        <w:rPr>
          <w:sz w:val="24"/>
          <w:szCs w:val="24"/>
          <w:color w:val="auto"/>
        </w:rPr>
      </w:pPr>
    </w:p>
    <w:p>
      <w:pPr>
        <w:sectPr>
          <w:pgSz w:w="11900" w:h="16838" w:orient="portrait"/>
          <w:cols w:equalWidth="0" w:num="3">
            <w:col w:w="3180" w:space="720"/>
            <w:col w:w="3118" w:space="720"/>
            <w:col w:w="3342"/>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78754</w:t>
            </w:r>
          </w:p>
        </w:tc>
      </w:tr>
      <w:tr>
        <w:trPr>
          <w:trHeight w:val="148"/>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140" w:type="dxa"/>
            <w:vAlign w:val="bottom"/>
          </w:tcPr>
          <w:p>
            <w:pPr>
              <w:spacing w:after="0"/>
              <w:rPr>
                <w:sz w:val="11"/>
                <w:szCs w:val="11"/>
                <w:color w:val="auto"/>
              </w:rPr>
            </w:pPr>
          </w:p>
        </w:tc>
        <w:tc>
          <w:tcPr>
            <w:tcW w:w="60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54,890</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22</w:t>
            </w:r>
            <w:r>
              <w:rPr>
                <w:rFonts w:ascii="Times New Roman" w:cs="Times New Roman" w:eastAsia="Times New Roman" w:hAnsi="Times New Roman"/>
                <w:sz w:val="21"/>
                <w:szCs w:val="21"/>
                <w:color w:val="008000"/>
                <w:w w:val="88"/>
                <w:vertAlign w:val="superscript"/>
              </w:rPr>
              <w:t>(2)</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756,295</w:t>
            </w:r>
            <w:r>
              <w:rPr>
                <w:rFonts w:ascii="Times New Roman" w:cs="Times New Roman" w:eastAsia="Times New Roman" w:hAnsi="Times New Roman"/>
                <w:sz w:val="21"/>
                <w:szCs w:val="21"/>
                <w:color w:val="008000"/>
                <w:w w:val="92"/>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5,145</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22.78</w:t>
            </w:r>
            <w:r>
              <w:rPr>
                <w:rFonts w:ascii="Times New Roman" w:cs="Times New Roman" w:eastAsia="Times New Roman" w:hAnsi="Times New Roman"/>
                <w:sz w:val="21"/>
                <w:szCs w:val="21"/>
                <w:color w:val="008000"/>
                <w:w w:val="9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751,150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83"/>
                <w:vertAlign w:val="subscript"/>
              </w:rPr>
              <w:t>C</w:t>
            </w:r>
            <w:r>
              <w:rPr>
                <w:rFonts w:ascii="Times New Roman" w:cs="Times New Roman" w:eastAsia="Times New Roman" w:hAnsi="Times New Roman"/>
                <w:sz w:val="11"/>
                <w:szCs w:val="11"/>
                <w:color w:val="008000"/>
                <w:w w:val="83"/>
              </w:rPr>
              <w:t>(5)</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55,848</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695,302</w:t>
            </w:r>
            <w:r>
              <w:rPr>
                <w:rFonts w:ascii="Times New Roman" w:cs="Times New Roman" w:eastAsia="Times New Roman" w:hAnsi="Times New Roman"/>
                <w:sz w:val="21"/>
                <w:szCs w:val="21"/>
                <w:color w:val="008000"/>
                <w:w w:val="92"/>
                <w:vertAlign w:val="superscript"/>
              </w:rPr>
              <w:t>(6)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center"/>
              <w:ind w:right="115"/>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jc w:val="center"/>
              <w:ind w:left="49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Code (Instr.</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8"/>
              </w:rPr>
              <w:t>55,848</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3"/>
              </w:rPr>
              <w:t>6,210,529</w:t>
            </w:r>
            <w:r>
              <w:rPr>
                <w:rFonts w:ascii="Times New Roman" w:cs="Times New Roman" w:eastAsia="Times New Roman" w:hAnsi="Times New Roman"/>
                <w:sz w:val="21"/>
                <w:szCs w:val="21"/>
                <w:color w:val="008000"/>
                <w:w w:val="93"/>
                <w:vertAlign w:val="superscript"/>
              </w:rPr>
              <w:t>(3)</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2"/>
                <w:szCs w:val="12"/>
                <w:color w:val="auto"/>
              </w:rPr>
            </w:pPr>
          </w:p>
        </w:tc>
        <w:tc>
          <w:tcPr>
            <w:tcW w:w="7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6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55,848</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128,893</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128,893</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214,822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214,822</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-2614295</wp:posOffset>
            </wp:positionV>
            <wp:extent cx="29210" cy="261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19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tax withholding obligations on the vesting of restricted stock units ("RSUs").</w:t>
      </w:r>
    </w:p>
    <w:p>
      <w:pPr>
        <w:spacing w:after="0" w:line="42" w:lineRule="exact"/>
        <w:rPr>
          <w:rFonts w:ascii="Times New Roman" w:cs="Times New Roman" w:eastAsia="Times New Roman" w:hAnsi="Times New Roman"/>
          <w:sz w:val="13"/>
          <w:szCs w:val="13"/>
          <w:color w:val="008000"/>
        </w:rPr>
      </w:pPr>
    </w:p>
    <w:p>
      <w:pPr>
        <w:ind w:left="40" w:right="1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$21.66 to $22.64 per share, inclusive. Upon request from the SEC staff, the Issuer, or a security holder of the Issuer, the Reporting Person will provide full information regarding the number of shares sold at each separate price within the range set forth in this Form 4.</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due to scrivener's error.</w:t>
      </w:r>
    </w:p>
    <w:p>
      <w:pPr>
        <w:spacing w:after="0" w:line="42" w:lineRule="exact"/>
        <w:rPr>
          <w:rFonts w:ascii="Times New Roman" w:cs="Times New Roman" w:eastAsia="Times New Roman" w:hAnsi="Times New Roman"/>
          <w:sz w:val="13"/>
          <w:szCs w:val="13"/>
          <w:color w:val="008000"/>
        </w:rPr>
      </w:pPr>
    </w:p>
    <w:p>
      <w:pPr>
        <w:ind w:left="40" w:right="4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$22.685 to $23.06 per share, inclusive. Upon request from the SEC staff, the Issuer, or a security holder of the Issuer, the Reporting Person will provide full information regarding the number of shares sold at each separate price within the range set forth in this Form 4.</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A Common Stock was exchanged at a 1:1 ratio for shares of Class B Common Stock.</w:t>
      </w:r>
    </w:p>
    <w:p>
      <w:pPr>
        <w:spacing w:after="0" w:line="42" w:lineRule="exact"/>
        <w:rPr>
          <w:rFonts w:ascii="Times New Roman" w:cs="Times New Roman" w:eastAsia="Times New Roman" w:hAnsi="Times New Roman"/>
          <w:sz w:val="13"/>
          <w:szCs w:val="13"/>
          <w:color w:val="008000"/>
        </w:rPr>
      </w:pPr>
    </w:p>
    <w:p>
      <w:pPr>
        <w:ind w:left="40" w:right="1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695,302 shares issuable on settlement of RSUs, each of which represents a contingent right to receive one share of Issuer's Class A Common Stock upon vesting and may be exchanged at a 1:1 ratio for shares of Class B Common Stock.</w:t>
      </w:r>
    </w:p>
    <w:p>
      <w:pPr>
        <w:spacing w:after="0" w:line="19" w:lineRule="exact"/>
        <w:rPr>
          <w:rFonts w:ascii="Times New Roman" w:cs="Times New Roman" w:eastAsia="Times New Roman" w:hAnsi="Times New Roman"/>
          <w:sz w:val="13"/>
          <w:szCs w:val="13"/>
          <w:color w:val="008000"/>
        </w:rPr>
      </w:pPr>
    </w:p>
    <w:p>
      <w:pPr>
        <w:ind w:left="40" w:right="3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is convertible at any time at the option of the Reporting Person into one share of Class A Common Stock. The Class B Common Stock has no expiration.</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John N. Colis, not individually, but solely as Trustee of the Peter G. Colis Family Trust U/A/D 7/4/2021.</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Cresset Trust Company, a South Dakota-charted public trust company solely as Trustee of the PGC Beta Trust U/A/D 10/18/2024.</w:t>
      </w:r>
    </w:p>
    <w:p>
      <w:pPr>
        <w:spacing w:after="0" w:line="5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Porter Nolan, Attorney-in-</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05/19/2026</w:t>
            </w:r>
          </w:p>
        </w:tc>
        <w:tc>
          <w:tcPr>
            <w:tcW w:w="0" w:type="dxa"/>
            <w:vAlign w:val="bottom"/>
          </w:tcPr>
          <w:p>
            <w:pPr>
              <w:spacing w:after="0"/>
              <w:rPr>
                <w:sz w:val="1"/>
                <w:szCs w:val="1"/>
                <w:color w:val="auto"/>
              </w:rPr>
            </w:pPr>
          </w:p>
        </w:tc>
      </w:tr>
      <w:tr>
        <w:trPr>
          <w:trHeight w:val="82"/>
        </w:trPr>
        <w:tc>
          <w:tcPr>
            <w:tcW w:w="196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9362" TargetMode="External"/><Relationship Id="rId14" Type="http://schemas.openxmlformats.org/officeDocument/2006/relationships/hyperlink" Target="http://www.sec.gov/cgi-bin/browse-edgar?action=getcompany&amp;CIK=0001788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2026-05-19T19:34:17Z</dcterms:created>
  <dcterms:modified xsi:type="dcterms:W3CDTF">2026-05-19T19:34:17Z</dcterms:modified>
</cp:coreProperties>
</file>